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EDAB6AB"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179E7E90" w14:textId="77777777" w:rsidR="004F480E" w:rsidRPr="00571687" w:rsidRDefault="004F480E" w:rsidP="004F480E">
      <w:pPr>
        <w:jc w:val="center"/>
        <w:rPr>
          <w:sz w:val="28"/>
          <w:szCs w:val="28"/>
          <w:lang w:val="en-GB"/>
        </w:rPr>
      </w:pPr>
      <w:r>
        <w:rPr>
          <w:rStyle w:val="Strong"/>
          <w:sz w:val="28"/>
          <w:szCs w:val="28"/>
          <w:lang w:val="en-GB"/>
        </w:rPr>
        <w:t>Experts for research</w:t>
      </w:r>
      <w:r w:rsidRPr="00571687">
        <w:rPr>
          <w:rStyle w:val="Strong"/>
          <w:sz w:val="28"/>
          <w:szCs w:val="28"/>
          <w:lang w:val="en-GB"/>
        </w:rPr>
        <w:br/>
      </w:r>
      <w:proofErr w:type="spellStart"/>
      <w:r>
        <w:rPr>
          <w:rStyle w:val="Strong"/>
          <w:sz w:val="28"/>
          <w:szCs w:val="28"/>
          <w:lang w:val="en-GB"/>
        </w:rPr>
        <w:t>Enez</w:t>
      </w:r>
      <w:proofErr w:type="spellEnd"/>
      <w:r>
        <w:rPr>
          <w:rStyle w:val="Strong"/>
          <w:sz w:val="28"/>
          <w:szCs w:val="28"/>
          <w:lang w:val="en-GB"/>
        </w:rPr>
        <w:t>, Edirne, Turkey</w:t>
      </w:r>
    </w:p>
    <w:p w14:paraId="366A15E2" w14:textId="77777777" w:rsidR="00571687" w:rsidRPr="00B33EE6" w:rsidRDefault="00571687" w:rsidP="004F480E">
      <w:pPr>
        <w:outlineLvl w:val="0"/>
        <w:rPr>
          <w:rStyle w:val="Strong"/>
          <w:sz w:val="22"/>
          <w:szCs w:val="22"/>
          <w:lang w:val="en-GB"/>
        </w:rPr>
      </w:pPr>
    </w:p>
    <w:p w14:paraId="1ED64217"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1CB22EAB" w14:textId="77777777" w:rsidR="004F480E" w:rsidRPr="008D7A2E" w:rsidRDefault="004F480E" w:rsidP="004F480E">
      <w:pPr>
        <w:pStyle w:val="Blockquote"/>
        <w:ind w:left="709"/>
        <w:rPr>
          <w:sz w:val="22"/>
          <w:szCs w:val="22"/>
          <w:lang w:val="en-GB"/>
        </w:rPr>
      </w:pPr>
      <w:r>
        <w:rPr>
          <w:sz w:val="22"/>
          <w:szCs w:val="22"/>
          <w:lang w:val="en-GB"/>
        </w:rPr>
        <w:t>PP1-088-Enez-Service 3</w:t>
      </w:r>
    </w:p>
    <w:p w14:paraId="7AB52671" w14:textId="77777777" w:rsidR="004F480E" w:rsidRDefault="007727F3" w:rsidP="004F480E">
      <w:pPr>
        <w:ind w:left="709" w:hanging="349"/>
        <w:outlineLvl w:val="0"/>
        <w:rPr>
          <w:rStyle w:val="Strong"/>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1290B277" w14:textId="77777777" w:rsidR="006F5FD0" w:rsidRPr="00B33EE6" w:rsidRDefault="004F480E" w:rsidP="004F480E">
      <w:pPr>
        <w:pStyle w:val="Blockquote"/>
        <w:ind w:left="709"/>
        <w:jc w:val="both"/>
        <w:rPr>
          <w:sz w:val="22"/>
          <w:szCs w:val="22"/>
          <w:lang w:val="en-GB"/>
        </w:rPr>
      </w:pPr>
      <w:r>
        <w:rPr>
          <w:rStyle w:val="Strong"/>
          <w:sz w:val="22"/>
          <w:szCs w:val="22"/>
          <w:lang w:val="en-GB"/>
        </w:rPr>
        <w:tab/>
      </w:r>
      <w:r w:rsidRPr="00421E26">
        <w:rPr>
          <w:sz w:val="22"/>
          <w:szCs w:val="22"/>
          <w:lang w:val="en-GB"/>
        </w:rPr>
        <w:t>Simplified procedure for service</w:t>
      </w:r>
      <w:r w:rsidRPr="00D225CC">
        <w:rPr>
          <w:sz w:val="22"/>
          <w:szCs w:val="22"/>
          <w:lang w:val="en-GB"/>
        </w:rPr>
        <w:t xml:space="preserve"> </w:t>
      </w:r>
      <w:r w:rsidR="00584BF4" w:rsidRPr="00B33EE6">
        <w:rPr>
          <w:sz w:val="22"/>
          <w:szCs w:val="22"/>
          <w:lang w:val="en-GB"/>
        </w:rPr>
        <w:t xml:space="preserve"> </w:t>
      </w:r>
    </w:p>
    <w:p w14:paraId="541B4AFB"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36187186" w14:textId="77777777" w:rsidR="00971962" w:rsidRPr="004F480E" w:rsidRDefault="004F480E" w:rsidP="004F480E">
      <w:pPr>
        <w:ind w:left="709"/>
        <w:outlineLvl w:val="0"/>
        <w:rPr>
          <w:sz w:val="22"/>
          <w:szCs w:val="22"/>
          <w:lang w:val="en-GB"/>
        </w:rPr>
      </w:pPr>
      <w:r>
        <w:rPr>
          <w:lang w:val="en-GB"/>
        </w:rPr>
        <w:tab/>
      </w:r>
      <w:r w:rsidRPr="00B26561">
        <w:rPr>
          <w:sz w:val="22"/>
          <w:szCs w:val="22"/>
          <w:lang w:val="en-GB"/>
        </w:rPr>
        <w:t xml:space="preserve">Second </w:t>
      </w:r>
      <w:proofErr w:type="gramStart"/>
      <w:r w:rsidRPr="00B26561">
        <w:rPr>
          <w:sz w:val="22"/>
          <w:szCs w:val="22"/>
          <w:lang w:val="en-GB"/>
        </w:rPr>
        <w:t>Call</w:t>
      </w:r>
      <w:proofErr w:type="gramEnd"/>
      <w:r w:rsidRPr="00B26561">
        <w:rPr>
          <w:sz w:val="22"/>
          <w:szCs w:val="22"/>
          <w:lang w:val="en-GB"/>
        </w:rPr>
        <w:t xml:space="preserve"> for proposals under the </w:t>
      </w:r>
      <w:proofErr w:type="spellStart"/>
      <w:r w:rsidRPr="00B26561">
        <w:rPr>
          <w:sz w:val="22"/>
          <w:szCs w:val="22"/>
          <w:lang w:val="en-GB"/>
        </w:rPr>
        <w:t>Interreg</w:t>
      </w:r>
      <w:proofErr w:type="spellEnd"/>
      <w:r w:rsidRPr="00B26561">
        <w:rPr>
          <w:sz w:val="22"/>
          <w:szCs w:val="22"/>
          <w:lang w:val="en-GB"/>
        </w:rPr>
        <w:t>-IPA CBC Bulgaria-Turkey Programme 2014-2020, CCI No 2014TC16I5CB005</w:t>
      </w:r>
    </w:p>
    <w:p w14:paraId="62C8028F"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2E1722D5" w14:textId="77777777" w:rsidR="004F480E" w:rsidRDefault="004F480E" w:rsidP="004F480E">
      <w:pPr>
        <w:ind w:left="709"/>
        <w:outlineLvl w:val="0"/>
        <w:rPr>
          <w:sz w:val="22"/>
          <w:szCs w:val="22"/>
          <w:lang w:val="en-GB"/>
        </w:rPr>
      </w:pPr>
      <w:r>
        <w:rPr>
          <w:rStyle w:val="Emphasis"/>
          <w:i w:val="0"/>
          <w:sz w:val="22"/>
          <w:szCs w:val="22"/>
          <w:lang w:val="en-GB"/>
        </w:rPr>
        <w:tab/>
      </w:r>
      <w:r w:rsidRPr="00B26561">
        <w:rPr>
          <w:sz w:val="22"/>
          <w:szCs w:val="22"/>
          <w:lang w:val="en-GB"/>
        </w:rPr>
        <w:t>The project</w:t>
      </w:r>
      <w:r w:rsidRPr="00B26561">
        <w:rPr>
          <w:sz w:val="22"/>
          <w:szCs w:val="22"/>
        </w:rPr>
        <w:t>s are</w:t>
      </w:r>
      <w:r w:rsidRPr="00B26561">
        <w:rPr>
          <w:sz w:val="22"/>
          <w:szCs w:val="22"/>
          <w:lang w:val="en-GB"/>
        </w:rPr>
        <w:t xml:space="preserve"> co-funded by the European Union, through financing agreement under the </w:t>
      </w:r>
      <w:proofErr w:type="spellStart"/>
      <w:r w:rsidRPr="00B26561">
        <w:rPr>
          <w:sz w:val="22"/>
          <w:szCs w:val="22"/>
          <w:lang w:val="en-GB"/>
        </w:rPr>
        <w:t>Interreg</w:t>
      </w:r>
      <w:proofErr w:type="spellEnd"/>
      <w:r w:rsidRPr="00B26561">
        <w:rPr>
          <w:sz w:val="22"/>
          <w:szCs w:val="22"/>
          <w:lang w:val="en-GB"/>
        </w:rPr>
        <w:t>-IPA CBC Bulgaria-Turkey Programme 2014-2020, CCI No 2014TC16I5CB005.</w:t>
      </w:r>
    </w:p>
    <w:p w14:paraId="48A01B06" w14:textId="77777777" w:rsidR="00502217" w:rsidRPr="00B33EE6" w:rsidRDefault="004F480E" w:rsidP="004F480E">
      <w:pPr>
        <w:ind w:left="709"/>
        <w:outlineLvl w:val="0"/>
        <w:rPr>
          <w:sz w:val="22"/>
          <w:szCs w:val="22"/>
          <w:lang w:val="en-GB"/>
        </w:rPr>
      </w:pPr>
      <w:r>
        <w:rPr>
          <w:sz w:val="22"/>
          <w:szCs w:val="22"/>
          <w:lang w:val="en-GB"/>
        </w:rPr>
        <w:t>Project No: CB005.2.12.88, Subsidy Contract RD -02-29-177/23.07.2019</w:t>
      </w:r>
    </w:p>
    <w:p w14:paraId="41398042"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55FA3DF7" w14:textId="40C93261" w:rsidR="004F480E" w:rsidRPr="00421E26" w:rsidRDefault="004F480E" w:rsidP="004F480E">
      <w:pPr>
        <w:spacing w:before="0" w:after="0"/>
        <w:ind w:left="709"/>
        <w:jc w:val="both"/>
        <w:rPr>
          <w:rStyle w:val="Emphasis"/>
          <w:b/>
          <w:i w:val="0"/>
          <w:sz w:val="22"/>
          <w:szCs w:val="22"/>
          <w:lang w:val="en-GB"/>
        </w:rPr>
      </w:pPr>
      <w:r>
        <w:rPr>
          <w:rStyle w:val="Emphasis"/>
          <w:i w:val="0"/>
          <w:sz w:val="22"/>
          <w:szCs w:val="22"/>
          <w:lang w:val="en-GB"/>
        </w:rPr>
        <w:tab/>
      </w:r>
      <w:r w:rsidRPr="00421E26">
        <w:rPr>
          <w:rStyle w:val="Emphasis"/>
          <w:b/>
          <w:i w:val="0"/>
          <w:sz w:val="22"/>
          <w:szCs w:val="22"/>
          <w:lang w:val="en-GB"/>
        </w:rPr>
        <w:t>District G</w:t>
      </w:r>
      <w:r w:rsidR="00932C01">
        <w:rPr>
          <w:rStyle w:val="Emphasis"/>
          <w:b/>
          <w:i w:val="0"/>
          <w:sz w:val="22"/>
          <w:szCs w:val="22"/>
          <w:lang w:val="en-GB"/>
        </w:rPr>
        <w:t>overnment</w:t>
      </w:r>
      <w:r w:rsidRPr="00421E26">
        <w:rPr>
          <w:rStyle w:val="Emphasis"/>
          <w:b/>
          <w:i w:val="0"/>
          <w:sz w:val="22"/>
          <w:szCs w:val="22"/>
          <w:lang w:val="en-GB"/>
        </w:rPr>
        <w:t xml:space="preserve"> of </w:t>
      </w:r>
      <w:proofErr w:type="spellStart"/>
      <w:r w:rsidRPr="00421E26">
        <w:rPr>
          <w:rStyle w:val="Emphasis"/>
          <w:b/>
          <w:i w:val="0"/>
          <w:sz w:val="22"/>
          <w:szCs w:val="22"/>
          <w:lang w:val="en-GB"/>
        </w:rPr>
        <w:t>Enez</w:t>
      </w:r>
      <w:proofErr w:type="spellEnd"/>
    </w:p>
    <w:p w14:paraId="7C280C56" w14:textId="77777777" w:rsidR="004F480E" w:rsidRPr="00421E26" w:rsidRDefault="004F480E" w:rsidP="004F480E">
      <w:pPr>
        <w:spacing w:before="0" w:after="0"/>
        <w:ind w:left="709"/>
        <w:jc w:val="both"/>
        <w:rPr>
          <w:rStyle w:val="Emphasis"/>
          <w:i w:val="0"/>
          <w:sz w:val="22"/>
          <w:szCs w:val="22"/>
          <w:lang w:val="en-GB"/>
        </w:rPr>
      </w:pPr>
      <w:proofErr w:type="spellStart"/>
      <w:r w:rsidRPr="00421E26">
        <w:rPr>
          <w:rStyle w:val="Emphasis"/>
          <w:i w:val="0"/>
          <w:sz w:val="22"/>
          <w:szCs w:val="22"/>
          <w:lang w:val="en-GB"/>
        </w:rPr>
        <w:t>Milli</w:t>
      </w:r>
      <w:proofErr w:type="spellEnd"/>
      <w:r w:rsidRPr="00421E26">
        <w:rPr>
          <w:rStyle w:val="Emphasis"/>
          <w:i w:val="0"/>
          <w:sz w:val="22"/>
          <w:szCs w:val="22"/>
          <w:lang w:val="en-GB"/>
        </w:rPr>
        <w:t xml:space="preserve"> </w:t>
      </w:r>
      <w:proofErr w:type="spellStart"/>
      <w:r w:rsidRPr="00421E26">
        <w:rPr>
          <w:rStyle w:val="Emphasis"/>
          <w:i w:val="0"/>
          <w:sz w:val="22"/>
          <w:szCs w:val="22"/>
          <w:lang w:val="en-GB"/>
        </w:rPr>
        <w:t>Egemenlik</w:t>
      </w:r>
      <w:proofErr w:type="spellEnd"/>
      <w:r w:rsidRPr="00421E26">
        <w:rPr>
          <w:rStyle w:val="Emphasis"/>
          <w:i w:val="0"/>
          <w:sz w:val="22"/>
          <w:szCs w:val="22"/>
          <w:lang w:val="en-GB"/>
        </w:rPr>
        <w:t xml:space="preserve"> </w:t>
      </w:r>
      <w:proofErr w:type="spellStart"/>
      <w:r w:rsidRPr="00421E26">
        <w:rPr>
          <w:rStyle w:val="Emphasis"/>
          <w:i w:val="0"/>
          <w:sz w:val="22"/>
          <w:szCs w:val="22"/>
          <w:lang w:val="en-GB"/>
        </w:rPr>
        <w:t>Caddesi</w:t>
      </w:r>
      <w:proofErr w:type="spellEnd"/>
      <w:r w:rsidRPr="00421E26">
        <w:rPr>
          <w:rStyle w:val="Emphasis"/>
          <w:i w:val="0"/>
          <w:sz w:val="22"/>
          <w:szCs w:val="22"/>
          <w:lang w:val="en-GB"/>
        </w:rPr>
        <w:t xml:space="preserve"> </w:t>
      </w:r>
    </w:p>
    <w:p w14:paraId="276E36C1" w14:textId="77777777" w:rsidR="004F480E" w:rsidRPr="00421E26" w:rsidRDefault="004F480E" w:rsidP="004F480E">
      <w:pPr>
        <w:spacing w:before="0" w:after="0"/>
        <w:ind w:left="709"/>
        <w:jc w:val="both"/>
        <w:rPr>
          <w:rStyle w:val="Emphasis"/>
          <w:i w:val="0"/>
          <w:sz w:val="22"/>
          <w:szCs w:val="22"/>
          <w:lang w:val="en-GB"/>
        </w:rPr>
      </w:pPr>
      <w:proofErr w:type="spellStart"/>
      <w:r w:rsidRPr="00421E26">
        <w:rPr>
          <w:rStyle w:val="Emphasis"/>
          <w:i w:val="0"/>
          <w:sz w:val="22"/>
          <w:szCs w:val="22"/>
          <w:lang w:val="en-GB"/>
        </w:rPr>
        <w:t>Hükümet</w:t>
      </w:r>
      <w:proofErr w:type="spellEnd"/>
      <w:r w:rsidRPr="00421E26">
        <w:rPr>
          <w:rStyle w:val="Emphasis"/>
          <w:i w:val="0"/>
          <w:sz w:val="22"/>
          <w:szCs w:val="22"/>
          <w:lang w:val="en-GB"/>
        </w:rPr>
        <w:t xml:space="preserve"> </w:t>
      </w:r>
      <w:proofErr w:type="spellStart"/>
      <w:r w:rsidRPr="00421E26">
        <w:rPr>
          <w:rStyle w:val="Emphasis"/>
          <w:i w:val="0"/>
          <w:sz w:val="22"/>
          <w:szCs w:val="22"/>
          <w:lang w:val="en-GB"/>
        </w:rPr>
        <w:t>Konağı</w:t>
      </w:r>
      <w:proofErr w:type="spellEnd"/>
      <w:r w:rsidRPr="00421E26">
        <w:rPr>
          <w:rStyle w:val="Emphasis"/>
          <w:i w:val="0"/>
          <w:sz w:val="22"/>
          <w:szCs w:val="22"/>
          <w:lang w:val="en-GB"/>
        </w:rPr>
        <w:t xml:space="preserve"> No</w:t>
      </w:r>
      <w:proofErr w:type="gramStart"/>
      <w:r w:rsidRPr="00421E26">
        <w:rPr>
          <w:rStyle w:val="Emphasis"/>
          <w:i w:val="0"/>
          <w:sz w:val="22"/>
          <w:szCs w:val="22"/>
          <w:lang w:val="en-GB"/>
        </w:rPr>
        <w:t>:11</w:t>
      </w:r>
      <w:proofErr w:type="gramEnd"/>
      <w:r w:rsidRPr="00421E26">
        <w:rPr>
          <w:rStyle w:val="Emphasis"/>
          <w:i w:val="0"/>
          <w:sz w:val="22"/>
          <w:szCs w:val="22"/>
          <w:lang w:val="en-GB"/>
        </w:rPr>
        <w:t>, 22700</w:t>
      </w:r>
    </w:p>
    <w:p w14:paraId="4A37592A" w14:textId="77777777" w:rsidR="006F5FD0" w:rsidRDefault="004F480E" w:rsidP="004F480E">
      <w:pPr>
        <w:spacing w:before="0" w:after="0"/>
        <w:ind w:left="709"/>
        <w:jc w:val="both"/>
        <w:rPr>
          <w:rStyle w:val="Emphasis"/>
          <w:i w:val="0"/>
          <w:sz w:val="22"/>
          <w:szCs w:val="22"/>
          <w:lang w:val="en-GB"/>
        </w:rPr>
      </w:pPr>
      <w:proofErr w:type="spellStart"/>
      <w:r w:rsidRPr="00421E26">
        <w:rPr>
          <w:rStyle w:val="Emphasis"/>
          <w:i w:val="0"/>
          <w:sz w:val="22"/>
          <w:szCs w:val="22"/>
          <w:lang w:val="en-GB"/>
        </w:rPr>
        <w:t>Enez</w:t>
      </w:r>
      <w:proofErr w:type="spellEnd"/>
      <w:r w:rsidRPr="00421E26">
        <w:rPr>
          <w:rStyle w:val="Emphasis"/>
          <w:i w:val="0"/>
          <w:sz w:val="22"/>
          <w:szCs w:val="22"/>
          <w:lang w:val="en-GB"/>
        </w:rPr>
        <w:t>, Edirne, Turkey</w:t>
      </w:r>
    </w:p>
    <w:p w14:paraId="48646BEF" w14:textId="77777777" w:rsidR="006F5FD0" w:rsidRPr="00B33EE6" w:rsidRDefault="00685697">
      <w:pPr>
        <w:rPr>
          <w:sz w:val="22"/>
          <w:szCs w:val="22"/>
          <w:lang w:val="en-GB"/>
        </w:rPr>
      </w:pPr>
      <w:r>
        <w:rPr>
          <w:snapToGrid/>
          <w:sz w:val="22"/>
          <w:szCs w:val="22"/>
          <w:lang w:val="en-GB"/>
        </w:rPr>
        <w:pict w14:anchorId="4F41799D">
          <v:line id="_x0000_s1027" style="position:absolute;z-index:251655680" from="0,12pt" to="468pt,12.05pt" o:allowincell="f" strokecolor="#d4d4d4" strokeweight="1.75pt">
            <v:shadow on="t" origin=",32385f" offset="0,-1pt"/>
          </v:line>
        </w:pict>
      </w:r>
    </w:p>
    <w:p w14:paraId="4F8D9B32"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0687B22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1ECAEFC5" w14:textId="77777777" w:rsidR="006F5FD0" w:rsidRPr="00B33EE6" w:rsidRDefault="004F480E" w:rsidP="004F480E">
      <w:pPr>
        <w:pStyle w:val="Blockquote"/>
        <w:ind w:left="709"/>
        <w:jc w:val="both"/>
        <w:rPr>
          <w:i/>
          <w:sz w:val="22"/>
          <w:szCs w:val="22"/>
          <w:lang w:val="en-GB"/>
        </w:rPr>
      </w:pPr>
      <w:r w:rsidRPr="00421E26">
        <w:rPr>
          <w:rStyle w:val="Emphasis"/>
          <w:i w:val="0"/>
          <w:sz w:val="22"/>
          <w:szCs w:val="22"/>
          <w:lang w:val="en-GB"/>
        </w:rPr>
        <w:t>Global price</w:t>
      </w:r>
    </w:p>
    <w:p w14:paraId="6A5D0B5E"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0E89F4D6" w14:textId="77777777" w:rsidR="004F480E" w:rsidRDefault="004F480E" w:rsidP="004F480E">
      <w:pPr>
        <w:ind w:left="709" w:firstLine="11"/>
        <w:jc w:val="both"/>
        <w:outlineLvl w:val="0"/>
        <w:rPr>
          <w:sz w:val="22"/>
          <w:szCs w:val="22"/>
        </w:rPr>
      </w:pPr>
      <w:r w:rsidRPr="00A84598">
        <w:rPr>
          <w:sz w:val="22"/>
          <w:szCs w:val="22"/>
        </w:rPr>
        <w:t xml:space="preserve">The project </w:t>
      </w:r>
      <w:r>
        <w:rPr>
          <w:sz w:val="22"/>
          <w:szCs w:val="22"/>
          <w:lang w:eastAsia="bg-BG"/>
        </w:rPr>
        <w:t>“Joint cross-border initiatives for reduction of marine litter in Aegean and Black Sea (Seas without waste)” with Ref No: CB005.2.12.88</w:t>
      </w:r>
      <w:r w:rsidRPr="00A84598">
        <w:rPr>
          <w:sz w:val="22"/>
          <w:szCs w:val="22"/>
          <w:lang w:eastAsia="bg-BG"/>
        </w:rPr>
        <w:t xml:space="preserve">, </w:t>
      </w:r>
      <w:r w:rsidRPr="00A84598">
        <w:rPr>
          <w:sz w:val="22"/>
          <w:szCs w:val="22"/>
        </w:rPr>
        <w:t>funded in</w:t>
      </w:r>
      <w:r w:rsidRPr="00A84598">
        <w:rPr>
          <w:sz w:val="22"/>
          <w:szCs w:val="22"/>
          <w:lang w:val="en-GB" w:eastAsia="en-GB"/>
        </w:rPr>
        <w:t xml:space="preserve"> under </w:t>
      </w:r>
      <w:proofErr w:type="spellStart"/>
      <w:r w:rsidRPr="00A84598">
        <w:rPr>
          <w:sz w:val="22"/>
          <w:szCs w:val="22"/>
          <w:lang w:val="en-GB" w:eastAsia="en-GB"/>
        </w:rPr>
        <w:t>Interreg</w:t>
      </w:r>
      <w:proofErr w:type="spellEnd"/>
      <w:r w:rsidRPr="00A84598">
        <w:rPr>
          <w:sz w:val="22"/>
          <w:szCs w:val="22"/>
          <w:lang w:val="en-GB" w:eastAsia="en-GB"/>
        </w:rPr>
        <w:t>-IPA CBC Bulgaria-Turkey 2014-2020,CCI No 2014TC16I5CB005</w:t>
      </w:r>
      <w:proofErr w:type="gramStart"/>
      <w:r w:rsidRPr="00A84598">
        <w:rPr>
          <w:sz w:val="22"/>
          <w:szCs w:val="22"/>
          <w:lang w:val="en-GB" w:eastAsia="en-GB"/>
        </w:rPr>
        <w:t xml:space="preserve">, </w:t>
      </w:r>
      <w:r w:rsidRPr="00A84598">
        <w:rPr>
          <w:sz w:val="22"/>
          <w:szCs w:val="22"/>
        </w:rPr>
        <w:t xml:space="preserve"> within</w:t>
      </w:r>
      <w:proofErr w:type="gramEnd"/>
      <w:r w:rsidRPr="00A84598">
        <w:rPr>
          <w:sz w:val="22"/>
          <w:szCs w:val="22"/>
        </w:rPr>
        <w:t xml:space="preserve"> the scope of the project, services will be provided within the scope of the works detailed below.</w:t>
      </w:r>
    </w:p>
    <w:p w14:paraId="5D82677E" w14:textId="77777777" w:rsidR="004F480E" w:rsidRDefault="004F480E" w:rsidP="00077254">
      <w:pPr>
        <w:ind w:left="709" w:firstLine="11"/>
        <w:jc w:val="both"/>
        <w:outlineLvl w:val="0"/>
        <w:rPr>
          <w:sz w:val="22"/>
          <w:szCs w:val="22"/>
        </w:rPr>
      </w:pPr>
      <w:r w:rsidRPr="00331D25">
        <w:rPr>
          <w:sz w:val="22"/>
          <w:szCs w:val="22"/>
          <w:lang w:val="en-GB"/>
        </w:rPr>
        <w:t xml:space="preserve">The subject of this contract is to provide professional expertise </w:t>
      </w:r>
      <w:r w:rsidRPr="00725970">
        <w:rPr>
          <w:sz w:val="22"/>
          <w:szCs w:val="22"/>
          <w:lang w:val="en-GB"/>
        </w:rPr>
        <w:t xml:space="preserve">services for: </w:t>
      </w:r>
      <w:r w:rsidRPr="00725970">
        <w:rPr>
          <w:sz w:val="22"/>
          <w:szCs w:val="22"/>
        </w:rPr>
        <w:t xml:space="preserve">The </w:t>
      </w:r>
      <w:proofErr w:type="spellStart"/>
      <w:r w:rsidRPr="00725970">
        <w:rPr>
          <w:sz w:val="22"/>
          <w:szCs w:val="22"/>
        </w:rPr>
        <w:t>Limnologic</w:t>
      </w:r>
      <w:proofErr w:type="spellEnd"/>
      <w:r w:rsidRPr="00725970">
        <w:rPr>
          <w:sz w:val="22"/>
          <w:szCs w:val="22"/>
        </w:rPr>
        <w:t xml:space="preserve"> </w:t>
      </w:r>
      <w:r w:rsidRPr="00725970">
        <w:rPr>
          <w:sz w:val="22"/>
          <w:szCs w:val="22"/>
        </w:rPr>
        <w:lastRenderedPageBreak/>
        <w:t xml:space="preserve">Characteristics And Management Plan Of </w:t>
      </w:r>
      <w:proofErr w:type="spellStart"/>
      <w:r w:rsidRPr="00725970">
        <w:rPr>
          <w:sz w:val="22"/>
          <w:szCs w:val="22"/>
        </w:rPr>
        <w:t>Dalyan</w:t>
      </w:r>
      <w:proofErr w:type="spellEnd"/>
      <w:r w:rsidRPr="00725970">
        <w:rPr>
          <w:sz w:val="22"/>
          <w:szCs w:val="22"/>
        </w:rPr>
        <w:t xml:space="preserve"> (Peso), </w:t>
      </w:r>
      <w:proofErr w:type="spellStart"/>
      <w:r w:rsidRPr="00725970">
        <w:rPr>
          <w:sz w:val="22"/>
          <w:szCs w:val="22"/>
        </w:rPr>
        <w:t>Taşalti</w:t>
      </w:r>
      <w:proofErr w:type="spellEnd"/>
      <w:r w:rsidRPr="00725970">
        <w:rPr>
          <w:sz w:val="22"/>
          <w:szCs w:val="22"/>
        </w:rPr>
        <w:t xml:space="preserve"> And </w:t>
      </w:r>
      <w:proofErr w:type="spellStart"/>
      <w:r w:rsidRPr="00725970">
        <w:rPr>
          <w:sz w:val="22"/>
          <w:szCs w:val="22"/>
        </w:rPr>
        <w:t>Bücürmene</w:t>
      </w:r>
      <w:proofErr w:type="spellEnd"/>
      <w:r w:rsidRPr="00725970">
        <w:rPr>
          <w:sz w:val="22"/>
          <w:szCs w:val="22"/>
        </w:rPr>
        <w:t xml:space="preserve"> (</w:t>
      </w:r>
      <w:proofErr w:type="spellStart"/>
      <w:r w:rsidRPr="00725970">
        <w:rPr>
          <w:sz w:val="22"/>
          <w:szCs w:val="22"/>
        </w:rPr>
        <w:t>Üzmene</w:t>
      </w:r>
      <w:proofErr w:type="spellEnd"/>
      <w:r w:rsidRPr="00725970">
        <w:rPr>
          <w:sz w:val="22"/>
          <w:szCs w:val="22"/>
        </w:rPr>
        <w:t xml:space="preserve">, </w:t>
      </w:r>
      <w:proofErr w:type="spellStart"/>
      <w:r w:rsidRPr="00725970">
        <w:rPr>
          <w:sz w:val="22"/>
          <w:szCs w:val="22"/>
        </w:rPr>
        <w:t>Işik</w:t>
      </w:r>
      <w:proofErr w:type="spellEnd"/>
      <w:r w:rsidRPr="00725970">
        <w:rPr>
          <w:sz w:val="22"/>
          <w:szCs w:val="22"/>
        </w:rPr>
        <w:t>) (</w:t>
      </w:r>
      <w:proofErr w:type="spellStart"/>
      <w:r w:rsidRPr="00725970">
        <w:rPr>
          <w:sz w:val="22"/>
          <w:szCs w:val="22"/>
        </w:rPr>
        <w:t>Saros</w:t>
      </w:r>
      <w:proofErr w:type="spellEnd"/>
      <w:r w:rsidRPr="00725970">
        <w:rPr>
          <w:sz w:val="22"/>
          <w:szCs w:val="22"/>
        </w:rPr>
        <w:t xml:space="preserve"> Gulf – </w:t>
      </w:r>
      <w:proofErr w:type="spellStart"/>
      <w:r w:rsidRPr="00725970">
        <w:rPr>
          <w:sz w:val="22"/>
          <w:szCs w:val="22"/>
        </w:rPr>
        <w:t>Enez</w:t>
      </w:r>
      <w:proofErr w:type="spellEnd"/>
      <w:r w:rsidRPr="00725970">
        <w:rPr>
          <w:sz w:val="22"/>
          <w:szCs w:val="22"/>
        </w:rPr>
        <w:t>, Edirne) Lagoons</w:t>
      </w:r>
      <w:r>
        <w:rPr>
          <w:sz w:val="22"/>
          <w:szCs w:val="22"/>
        </w:rPr>
        <w:t>:</w:t>
      </w:r>
    </w:p>
    <w:p w14:paraId="6EC93DFD" w14:textId="77777777" w:rsidR="004F480E" w:rsidRPr="00CC3251" w:rsidRDefault="004F480E" w:rsidP="00077254">
      <w:pPr>
        <w:ind w:left="709" w:firstLine="11"/>
        <w:jc w:val="both"/>
        <w:outlineLvl w:val="0"/>
        <w:rPr>
          <w:sz w:val="22"/>
          <w:szCs w:val="22"/>
        </w:rPr>
      </w:pPr>
      <w:r w:rsidRPr="00640350">
        <w:rPr>
          <w:b/>
          <w:sz w:val="22"/>
          <w:szCs w:val="22"/>
          <w:lang w:val="en" w:eastAsia="tr-TR"/>
        </w:rPr>
        <w:t>1) Field Studies:</w:t>
      </w:r>
      <w:r w:rsidRPr="00640350">
        <w:rPr>
          <w:sz w:val="22"/>
          <w:szCs w:val="22"/>
          <w:lang w:val="en" w:eastAsia="tr-TR"/>
        </w:rPr>
        <w:t>For the study, a total of 8 workstations will be constructed, one from the stations that will best characterize the lakes (3 in Dalyan Lake, 2 in Taşaltı Lake and 1 in Bucurmene Lake (Işık) and 2 in Meriç River to determine the ecological effect brought by the Meriç River. In every station seasonal sampling (Spring, Summer, Autumn, Winter) will be done. The following samples are targeted to reach the following limnological data:</w:t>
      </w:r>
    </w:p>
    <w:p w14:paraId="395BFE5C" w14:textId="77777777" w:rsidR="004F480E" w:rsidRPr="00640350" w:rsidRDefault="004F480E" w:rsidP="00077254">
      <w:pPr>
        <w:ind w:left="720"/>
        <w:jc w:val="both"/>
        <w:rPr>
          <w:sz w:val="22"/>
          <w:szCs w:val="22"/>
          <w:lang w:val="en" w:eastAsia="tr-TR"/>
        </w:rPr>
      </w:pPr>
      <w:r w:rsidRPr="00CC3251">
        <w:rPr>
          <w:sz w:val="22"/>
          <w:szCs w:val="22"/>
          <w:lang w:val="en" w:eastAsia="tr-TR"/>
        </w:rPr>
        <w:t xml:space="preserve"> 1. Physical and chemical analyzes: Some</w:t>
      </w:r>
      <w:r w:rsidRPr="00640350">
        <w:rPr>
          <w:sz w:val="22"/>
          <w:szCs w:val="22"/>
          <w:lang w:val="en" w:eastAsia="tr-TR"/>
        </w:rPr>
        <w:t xml:space="preserve"> environmental parameters (pH, dissolved oxygen, water temperature, conductivity, calcium, magnesium, chlorophyll-a, nutrient salts and some physicochemical parameters such as some heavy metal values) play the most important role in the distribution of fishes will be determined by a seasonal measurement at a sampling station.</w:t>
      </w:r>
      <w:r w:rsidRPr="00640350">
        <w:rPr>
          <w:sz w:val="22"/>
          <w:szCs w:val="22"/>
        </w:rPr>
        <w:t xml:space="preserve"> </w:t>
      </w:r>
      <w:r w:rsidRPr="00640350">
        <w:rPr>
          <w:sz w:val="22"/>
          <w:szCs w:val="22"/>
          <w:lang w:val="en" w:eastAsia="tr-TR"/>
        </w:rPr>
        <w:t>Some of the parameters are made in the sampling area while the Nansen water intake container and 2 liters of water samples are taken for analysis.</w:t>
      </w:r>
    </w:p>
    <w:p w14:paraId="1939D52F" w14:textId="77777777" w:rsidR="004F480E" w:rsidRPr="00640350" w:rsidRDefault="004F480E" w:rsidP="00077254">
      <w:pPr>
        <w:ind w:left="720"/>
        <w:jc w:val="both"/>
        <w:rPr>
          <w:sz w:val="22"/>
          <w:szCs w:val="22"/>
          <w:lang w:val="en" w:eastAsia="tr-TR"/>
        </w:rPr>
      </w:pPr>
      <w:r w:rsidRPr="00CC3251">
        <w:rPr>
          <w:sz w:val="22"/>
          <w:szCs w:val="22"/>
          <w:lang w:val="en" w:eastAsia="tr-TR"/>
        </w:rPr>
        <w:t>2. Benthic macroleakers: Bentik</w:t>
      </w:r>
      <w:r w:rsidRPr="00640350">
        <w:rPr>
          <w:sz w:val="22"/>
          <w:szCs w:val="22"/>
          <w:lang w:val="en" w:eastAsia="tr-TR"/>
        </w:rPr>
        <w:t xml:space="preserve"> Sediment samples taken with Ekman Bageri for collection of macro irregulars will be sieved from sieves with different oval ranges and the organisms will be sorted, placed in 250 ml plastic bottles containing 70% ethyl alcohol and labeled and brought to the laboratory</w:t>
      </w:r>
    </w:p>
    <w:p w14:paraId="5AB423AB" w14:textId="77777777" w:rsidR="004F480E" w:rsidRPr="00640350" w:rsidRDefault="004F480E" w:rsidP="00077254">
      <w:pPr>
        <w:ind w:left="720"/>
        <w:jc w:val="both"/>
        <w:rPr>
          <w:sz w:val="22"/>
          <w:szCs w:val="22"/>
          <w:lang w:val="en" w:eastAsia="tr-TR"/>
        </w:rPr>
      </w:pPr>
      <w:r w:rsidRPr="00CC3251">
        <w:rPr>
          <w:sz w:val="22"/>
          <w:szCs w:val="22"/>
          <w:lang w:val="en" w:eastAsia="tr-TR"/>
        </w:rPr>
        <w:t>3. Planktons:</w:t>
      </w:r>
      <w:r w:rsidRPr="00640350">
        <w:rPr>
          <w:sz w:val="22"/>
          <w:szCs w:val="22"/>
          <w:lang w:val="en" w:eastAsia="tr-TR"/>
        </w:rPr>
        <w:t xml:space="preserve"> Zooplankton specimens shall be collected horizontally by simple plankton bushes with a 25 cm mouth diameter, 75 cm length and 55 micron eye spacing, with small hand lobes having a range of 55 microns in areas where plankton grabs can not be drawn.</w:t>
      </w:r>
      <w:r w:rsidRPr="00640350">
        <w:rPr>
          <w:sz w:val="22"/>
          <w:szCs w:val="22"/>
        </w:rPr>
        <w:t xml:space="preserve"> </w:t>
      </w:r>
      <w:r w:rsidRPr="00640350">
        <w:rPr>
          <w:sz w:val="22"/>
          <w:szCs w:val="22"/>
          <w:lang w:val="en" w:eastAsia="tr-TR"/>
        </w:rPr>
        <w:t>Collected specimens shall be placed in 250 ml plastic bottles containing 4% formaldehyde and labeled and brought to the laboratory. For phytoplankton samples, 2 liters of water samples shall be taken with Nansen water intake container and placed in dark bottles and transported to the laboratory.</w:t>
      </w:r>
    </w:p>
    <w:p w14:paraId="6A4EB92E" w14:textId="77777777" w:rsidR="00ED44E3" w:rsidRDefault="004F480E" w:rsidP="00077254">
      <w:pPr>
        <w:ind w:left="720"/>
        <w:jc w:val="both"/>
        <w:rPr>
          <w:sz w:val="22"/>
          <w:szCs w:val="22"/>
          <w:lang w:val="en" w:eastAsia="tr-TR"/>
        </w:rPr>
      </w:pPr>
      <w:r w:rsidRPr="00CC3251">
        <w:rPr>
          <w:sz w:val="22"/>
          <w:szCs w:val="22"/>
          <w:lang w:val="en" w:eastAsia="tr-TR"/>
        </w:rPr>
        <w:t>4. Fish:</w:t>
      </w:r>
      <w:r w:rsidRPr="00640350">
        <w:rPr>
          <w:sz w:val="22"/>
          <w:szCs w:val="22"/>
          <w:lang w:val="en" w:eastAsia="tr-TR"/>
        </w:rPr>
        <w:t xml:space="preserve"> In order to identify species of fish on the ground, fish from various fish nets or fishermen from the region will be examined in various sizes and necessary samples will be agreed.</w:t>
      </w:r>
    </w:p>
    <w:p w14:paraId="04E02B92" w14:textId="69231890" w:rsidR="004F480E" w:rsidRPr="00640350" w:rsidRDefault="004F480E" w:rsidP="00077254">
      <w:pPr>
        <w:ind w:left="720"/>
        <w:jc w:val="both"/>
        <w:rPr>
          <w:sz w:val="22"/>
          <w:szCs w:val="22"/>
          <w:lang w:val="en" w:eastAsia="tr-TR"/>
        </w:rPr>
      </w:pPr>
      <w:r w:rsidRPr="00640350">
        <w:rPr>
          <w:sz w:val="22"/>
          <w:szCs w:val="22"/>
          <w:lang w:val="en" w:eastAsia="tr-TR"/>
        </w:rPr>
        <w:br/>
      </w:r>
      <w:r w:rsidRPr="00CC3251">
        <w:rPr>
          <w:sz w:val="22"/>
          <w:szCs w:val="22"/>
          <w:lang w:val="en" w:eastAsia="tr-TR"/>
        </w:rPr>
        <w:t>5. Environmental Factors: Environmental</w:t>
      </w:r>
      <w:r w:rsidRPr="00640350">
        <w:rPr>
          <w:sz w:val="22"/>
          <w:szCs w:val="22"/>
          <w:lang w:val="en" w:eastAsia="tr-TR"/>
        </w:rPr>
        <w:t xml:space="preserve"> factors affecting lakes will be monitored and recorded.</w:t>
      </w:r>
    </w:p>
    <w:p w14:paraId="26F43C82" w14:textId="77777777" w:rsidR="004F480E" w:rsidRDefault="004F480E" w:rsidP="004F480E">
      <w:pPr>
        <w:ind w:firstLine="720"/>
        <w:rPr>
          <w:sz w:val="22"/>
          <w:szCs w:val="22"/>
          <w:lang w:val="en" w:eastAsia="tr-TR"/>
        </w:rPr>
      </w:pPr>
    </w:p>
    <w:p w14:paraId="02C2111C" w14:textId="77777777" w:rsidR="004F480E" w:rsidRPr="00CC3251" w:rsidRDefault="004F480E" w:rsidP="004F480E">
      <w:pPr>
        <w:ind w:firstLine="720"/>
        <w:rPr>
          <w:b/>
          <w:sz w:val="22"/>
          <w:szCs w:val="22"/>
          <w:lang w:eastAsia="tr-TR"/>
        </w:rPr>
      </w:pPr>
      <w:r w:rsidRPr="00640350">
        <w:rPr>
          <w:b/>
          <w:sz w:val="22"/>
          <w:szCs w:val="22"/>
          <w:lang w:eastAsia="tr-TR"/>
        </w:rPr>
        <w:t>2) Analysis of the samples:</w:t>
      </w:r>
    </w:p>
    <w:p w14:paraId="6A171664" w14:textId="77777777" w:rsidR="004F480E" w:rsidRPr="00640350" w:rsidRDefault="004F480E" w:rsidP="004F480E">
      <w:pPr>
        <w:ind w:left="720"/>
        <w:jc w:val="both"/>
        <w:rPr>
          <w:sz w:val="22"/>
          <w:szCs w:val="22"/>
          <w:lang w:eastAsia="tr-TR"/>
        </w:rPr>
      </w:pPr>
      <w:r w:rsidRPr="00CC3251">
        <w:rPr>
          <w:sz w:val="22"/>
          <w:szCs w:val="22"/>
          <w:lang w:eastAsia="tr-TR"/>
        </w:rPr>
        <w:t xml:space="preserve">1. Physical and chemical </w:t>
      </w:r>
      <w:proofErr w:type="gramStart"/>
      <w:r w:rsidRPr="00CC3251">
        <w:rPr>
          <w:sz w:val="22"/>
          <w:szCs w:val="22"/>
          <w:lang w:eastAsia="tr-TR"/>
        </w:rPr>
        <w:t>analyzes</w:t>
      </w:r>
      <w:proofErr w:type="gramEnd"/>
      <w:r w:rsidRPr="00CC3251">
        <w:rPr>
          <w:sz w:val="22"/>
          <w:szCs w:val="22"/>
          <w:lang w:eastAsia="tr-TR"/>
        </w:rPr>
        <w:t>:</w:t>
      </w:r>
      <w:r w:rsidRPr="00640350">
        <w:rPr>
          <w:sz w:val="22"/>
          <w:szCs w:val="22"/>
          <w:lang w:eastAsia="tr-TR"/>
        </w:rPr>
        <w:t xml:space="preserve"> Some water analyzes (pH, dissolved oxygen, conductivity, salinity, etc.) were performed during sampling with field instruments to determine the physicochemical properties of water.</w:t>
      </w:r>
    </w:p>
    <w:p w14:paraId="12C2F584" w14:textId="77777777" w:rsidR="004F480E" w:rsidRPr="00640350" w:rsidRDefault="004F480E" w:rsidP="004F480E">
      <w:pPr>
        <w:ind w:left="720"/>
        <w:rPr>
          <w:sz w:val="22"/>
          <w:szCs w:val="22"/>
          <w:lang w:eastAsia="tr-TR"/>
        </w:rPr>
      </w:pPr>
      <w:r w:rsidRPr="00CC3251">
        <w:rPr>
          <w:sz w:val="22"/>
          <w:szCs w:val="22"/>
          <w:lang w:eastAsia="tr-TR"/>
        </w:rPr>
        <w:t xml:space="preserve">2. Benthic </w:t>
      </w:r>
      <w:proofErr w:type="spellStart"/>
      <w:r w:rsidRPr="00CC3251">
        <w:rPr>
          <w:sz w:val="22"/>
          <w:szCs w:val="22"/>
          <w:lang w:eastAsia="tr-TR"/>
        </w:rPr>
        <w:t>macroleakers</w:t>
      </w:r>
      <w:proofErr w:type="spellEnd"/>
      <w:r w:rsidRPr="00CC3251">
        <w:rPr>
          <w:sz w:val="22"/>
          <w:szCs w:val="22"/>
          <w:lang w:eastAsia="tr-TR"/>
        </w:rPr>
        <w:t>: The</w:t>
      </w:r>
      <w:r w:rsidRPr="00640350">
        <w:rPr>
          <w:sz w:val="22"/>
          <w:szCs w:val="22"/>
          <w:lang w:eastAsia="tr-TR"/>
        </w:rPr>
        <w:t xml:space="preserve"> analysis of these organisms at the group or species level will determine the abundance in the lakes. </w:t>
      </w:r>
    </w:p>
    <w:p w14:paraId="5C5184BF" w14:textId="77777777" w:rsidR="004F480E" w:rsidRPr="00640350" w:rsidRDefault="004F480E" w:rsidP="004F480E">
      <w:pPr>
        <w:ind w:left="720"/>
        <w:rPr>
          <w:sz w:val="22"/>
          <w:szCs w:val="22"/>
          <w:lang w:eastAsia="tr-TR"/>
        </w:rPr>
      </w:pPr>
      <w:r w:rsidRPr="00CC3251">
        <w:rPr>
          <w:sz w:val="22"/>
          <w:szCs w:val="22"/>
          <w:lang w:eastAsia="tr-TR"/>
        </w:rPr>
        <w:t>3. Plankton Analysis:</w:t>
      </w:r>
      <w:r w:rsidRPr="00640350">
        <w:rPr>
          <w:sz w:val="22"/>
          <w:szCs w:val="22"/>
          <w:lang w:eastAsia="tr-TR"/>
        </w:rPr>
        <w:t xml:space="preserve"> The biological abundance in the lakes will be determined while carrying out the analysis of these organisms at the group or species level. </w:t>
      </w:r>
    </w:p>
    <w:p w14:paraId="3E5E6B47" w14:textId="77777777" w:rsidR="004F480E" w:rsidRPr="00640350" w:rsidRDefault="004F480E" w:rsidP="004F480E">
      <w:pPr>
        <w:ind w:left="720"/>
        <w:rPr>
          <w:sz w:val="22"/>
          <w:szCs w:val="22"/>
          <w:lang w:val="en" w:eastAsia="tr-TR"/>
        </w:rPr>
      </w:pPr>
      <w:r w:rsidRPr="00CC3251">
        <w:rPr>
          <w:sz w:val="22"/>
          <w:szCs w:val="22"/>
          <w:lang w:val="en" w:eastAsia="tr-TR"/>
        </w:rPr>
        <w:t>4. Fish:</w:t>
      </w:r>
      <w:r w:rsidRPr="00640350">
        <w:rPr>
          <w:sz w:val="22"/>
          <w:szCs w:val="22"/>
          <w:lang w:val="en" w:eastAsia="tr-TR"/>
        </w:rPr>
        <w:t xml:space="preserve"> Fish species and economic species living in the lakes will be determined. </w:t>
      </w:r>
    </w:p>
    <w:p w14:paraId="47465F1B" w14:textId="77777777" w:rsidR="004F480E" w:rsidRPr="00640350" w:rsidRDefault="004F480E" w:rsidP="004F480E">
      <w:pPr>
        <w:ind w:left="720"/>
        <w:rPr>
          <w:sz w:val="22"/>
          <w:szCs w:val="22"/>
          <w:lang w:val="en" w:eastAsia="tr-TR"/>
        </w:rPr>
      </w:pPr>
      <w:r w:rsidRPr="00CC3251">
        <w:rPr>
          <w:sz w:val="22"/>
          <w:szCs w:val="22"/>
          <w:lang w:val="en" w:eastAsia="tr-TR"/>
        </w:rPr>
        <w:lastRenderedPageBreak/>
        <w:t>5. Other:</w:t>
      </w:r>
      <w:r w:rsidRPr="00640350">
        <w:rPr>
          <w:sz w:val="22"/>
          <w:szCs w:val="22"/>
          <w:lang w:val="en" w:eastAsia="tr-TR"/>
        </w:rPr>
        <w:t xml:space="preserve"> Fishing hunting, livestock farming, reclamation, sand purchasing, tourism etc. affecting the lake. activities will be observed on site and interviewed with local people.</w:t>
      </w:r>
    </w:p>
    <w:p w14:paraId="71BB6041" w14:textId="77777777" w:rsidR="004F480E" w:rsidRPr="00640350" w:rsidRDefault="004F480E" w:rsidP="004F480E">
      <w:pPr>
        <w:ind w:firstLine="720"/>
        <w:rPr>
          <w:b/>
          <w:sz w:val="22"/>
          <w:szCs w:val="22"/>
          <w:lang w:val="en" w:eastAsia="tr-TR"/>
        </w:rPr>
      </w:pPr>
      <w:r w:rsidRPr="00640350">
        <w:rPr>
          <w:b/>
          <w:sz w:val="22"/>
          <w:szCs w:val="22"/>
          <w:lang w:val="en" w:eastAsia="tr-TR"/>
        </w:rPr>
        <w:t>3) Evaluation of the data:</w:t>
      </w:r>
    </w:p>
    <w:p w14:paraId="1147F19C" w14:textId="02723A03" w:rsidR="004F480E" w:rsidRPr="00ED44E3" w:rsidRDefault="004F480E" w:rsidP="00ED44E3">
      <w:pPr>
        <w:ind w:left="709" w:firstLine="11"/>
        <w:jc w:val="both"/>
        <w:rPr>
          <w:sz w:val="22"/>
          <w:szCs w:val="22"/>
          <w:lang w:val="en" w:eastAsia="tr-TR"/>
        </w:rPr>
      </w:pPr>
      <w:r w:rsidRPr="00640350">
        <w:rPr>
          <w:sz w:val="22"/>
          <w:szCs w:val="22"/>
          <w:lang w:val="en" w:eastAsia="tr-TR"/>
        </w:rPr>
        <w:t>By evaluating all the limnological, ecological and sociological data obtained, the factors threatening the lakes and the opportunities offered by the lakes for the people of the region will be determined while presenting the present condition of the lakes and suggestions for the sustainable use will be made. This data will be prepared in a report. The progress of the work activities will be presented during a workshop in Burgas.</w:t>
      </w:r>
    </w:p>
    <w:p w14:paraId="100C9FE1"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4F5E22AD" w14:textId="77777777" w:rsidR="004F480E" w:rsidRDefault="004F480E" w:rsidP="004F480E">
      <w:pPr>
        <w:pStyle w:val="Blockquote"/>
        <w:ind w:left="709"/>
        <w:jc w:val="both"/>
        <w:rPr>
          <w:rStyle w:val="Emphasis"/>
          <w:i w:val="0"/>
          <w:sz w:val="22"/>
          <w:szCs w:val="22"/>
          <w:lang w:val="en-GB"/>
        </w:rPr>
      </w:pPr>
      <w:r>
        <w:rPr>
          <w:rStyle w:val="Emphasis"/>
          <w:i w:val="0"/>
          <w:sz w:val="22"/>
          <w:szCs w:val="22"/>
          <w:lang w:val="en-GB"/>
        </w:rPr>
        <w:tab/>
      </w:r>
      <w:r w:rsidRPr="00421E26">
        <w:rPr>
          <w:rStyle w:val="Emphasis"/>
          <w:i w:val="0"/>
          <w:sz w:val="22"/>
          <w:szCs w:val="22"/>
          <w:lang w:val="en-GB"/>
        </w:rPr>
        <w:t>One lot only</w:t>
      </w:r>
    </w:p>
    <w:p w14:paraId="69651991"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6692BDE5" w14:textId="77777777" w:rsidR="00971962" w:rsidRPr="004F480E" w:rsidRDefault="004F480E" w:rsidP="004F480E">
      <w:pPr>
        <w:ind w:left="709"/>
        <w:outlineLvl w:val="0"/>
        <w:rPr>
          <w:sz w:val="22"/>
          <w:szCs w:val="22"/>
          <w:lang w:val="en-GB"/>
        </w:rPr>
      </w:pPr>
      <w:r w:rsidRPr="004F480E">
        <w:rPr>
          <w:rStyle w:val="Strong"/>
          <w:b w:val="0"/>
          <w:sz w:val="22"/>
          <w:szCs w:val="22"/>
          <w:lang w:val="en-GB"/>
        </w:rPr>
        <w:tab/>
        <w:t>21 800,00 Euro –VAT Excluded</w:t>
      </w:r>
      <w:r w:rsidRPr="00375045">
        <w:rPr>
          <w:rStyle w:val="Strong"/>
          <w:b w:val="0"/>
          <w:sz w:val="22"/>
          <w:szCs w:val="22"/>
          <w:lang w:val="en-GB"/>
        </w:rPr>
        <w:t xml:space="preserve"> </w:t>
      </w:r>
    </w:p>
    <w:p w14:paraId="268BDB73" w14:textId="77777777" w:rsidR="006F5FD0" w:rsidRPr="00B33EE6" w:rsidRDefault="00685697">
      <w:pPr>
        <w:pStyle w:val="Blockquote"/>
        <w:jc w:val="both"/>
        <w:rPr>
          <w:sz w:val="22"/>
          <w:szCs w:val="22"/>
          <w:lang w:val="en-GB"/>
        </w:rPr>
      </w:pPr>
      <w:r>
        <w:rPr>
          <w:snapToGrid/>
          <w:sz w:val="22"/>
          <w:szCs w:val="22"/>
          <w:lang w:val="en-GB"/>
        </w:rPr>
        <w:pict w14:anchorId="1DE36DEE">
          <v:line id="_x0000_s1028" style="position:absolute;left:0;text-align:left;z-index:251656704" from="-1.05pt,17.55pt" to="466.95pt,17.6pt" o:allowincell="f" strokecolor="#d4d4d4" strokeweight="1.75pt">
            <v:shadow on="t" origin=",32385f" offset="0,-1pt"/>
          </v:line>
        </w:pict>
      </w:r>
    </w:p>
    <w:p w14:paraId="5E6E9BC6"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545AE25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14:paraId="3DA9A3D5" w14:textId="77777777" w:rsidR="00D93082" w:rsidRDefault="00D93082" w:rsidP="00E147D3">
      <w:pPr>
        <w:widowControl/>
        <w:spacing w:before="360" w:after="360"/>
        <w:ind w:left="426"/>
        <w:jc w:val="both"/>
        <w:rPr>
          <w:sz w:val="22"/>
          <w:szCs w:val="22"/>
          <w:lang w:val="en-GB"/>
        </w:rPr>
      </w:pPr>
      <w:r w:rsidRPr="004F480E">
        <w:rPr>
          <w:sz w:val="22"/>
          <w:szCs w:val="22"/>
          <w:lang w:val="en-GB"/>
        </w:rPr>
        <w:t xml:space="preserve">Participation is open to all </w:t>
      </w:r>
      <w:r w:rsidRPr="004F480E">
        <w:rPr>
          <w:rFonts w:eastAsia="Calibri" w:cs="Arial"/>
          <w:szCs w:val="24"/>
          <w:lang w:val="en-GB"/>
        </w:rPr>
        <w:t xml:space="preserve">natural persons who are nationals of and </w:t>
      </w:r>
      <w:r w:rsidRPr="004F480E">
        <w:rPr>
          <w:sz w:val="22"/>
          <w:szCs w:val="22"/>
          <w:lang w:val="en-GB"/>
        </w:rPr>
        <w:t xml:space="preserve">legal persons [participating either individually or in a grouping (consortium) of tenderers] which are effectively established in </w:t>
      </w:r>
      <w:proofErr w:type="gramStart"/>
      <w:r w:rsidRPr="004F480E">
        <w:rPr>
          <w:sz w:val="22"/>
          <w:szCs w:val="22"/>
          <w:lang w:val="en-GB"/>
        </w:rPr>
        <w:t>a  Member</w:t>
      </w:r>
      <w:proofErr w:type="gramEnd"/>
      <w:r w:rsidRPr="004F480E">
        <w:rPr>
          <w:sz w:val="22"/>
          <w:szCs w:val="22"/>
          <w:lang w:val="en-GB"/>
        </w:rPr>
        <w:t xml:space="preserve"> State of the European Union or in a eligible country or territory  as defined under </w:t>
      </w:r>
      <w:r w:rsidRPr="004F480E">
        <w:rPr>
          <w:rFonts w:eastAsia="Calibri" w:cs="Arial"/>
          <w:bCs/>
          <w:szCs w:val="24"/>
          <w:lang w:val="en-GB"/>
        </w:rPr>
        <w:t xml:space="preserve">the Regulation </w:t>
      </w:r>
      <w:r w:rsidRPr="004F480E">
        <w:rPr>
          <w:szCs w:val="24"/>
          <w:lang w:val="en-GB"/>
        </w:rPr>
        <w:t xml:space="preserve">(EU) </w:t>
      </w:r>
      <w:r w:rsidR="00FE4E4B" w:rsidRPr="004F480E">
        <w:rPr>
          <w:szCs w:val="24"/>
          <w:lang w:val="en-GB"/>
        </w:rPr>
        <w:t>No </w:t>
      </w:r>
      <w:r w:rsidRPr="004F480E">
        <w:rPr>
          <w:rFonts w:eastAsia="MS Mincho"/>
          <w:noProof/>
          <w:szCs w:val="24"/>
          <w:lang w:val="en-GB" w:eastAsia="ja-JP"/>
        </w:rPr>
        <w:t xml:space="preserve">236/2014 </w:t>
      </w:r>
      <w:r w:rsidRPr="004F480E">
        <w:rPr>
          <w:rFonts w:eastAsia="Calibri" w:cs="Arial"/>
          <w:bCs/>
          <w:szCs w:val="24"/>
          <w:lang w:val="en-GB"/>
        </w:rPr>
        <w:t xml:space="preserve">establishing common rules and procedures for the implementation of the Union's instruments for external action (CIR) </w:t>
      </w:r>
      <w:r w:rsidRPr="004F480E">
        <w:rPr>
          <w:sz w:val="22"/>
          <w:szCs w:val="22"/>
          <w:lang w:val="en-GB"/>
        </w:rPr>
        <w:t xml:space="preserve">for the applicable </w:t>
      </w:r>
      <w:r w:rsidR="00FE4E4B" w:rsidRPr="004F480E">
        <w:rPr>
          <w:sz w:val="22"/>
          <w:szCs w:val="22"/>
          <w:lang w:val="en-GB"/>
        </w:rPr>
        <w:t>i</w:t>
      </w:r>
      <w:r w:rsidRPr="004F480E">
        <w:rPr>
          <w:sz w:val="22"/>
          <w:szCs w:val="22"/>
          <w:lang w:val="en-GB"/>
        </w:rPr>
        <w:t>nstrument under which the contract is financed (see also heading 2</w:t>
      </w:r>
      <w:r w:rsidR="00A504E1" w:rsidRPr="004F480E">
        <w:rPr>
          <w:sz w:val="22"/>
          <w:szCs w:val="22"/>
          <w:lang w:val="en-GB"/>
        </w:rPr>
        <w:t>3</w:t>
      </w:r>
      <w:r w:rsidRPr="004F480E">
        <w:rPr>
          <w:sz w:val="22"/>
          <w:szCs w:val="22"/>
          <w:lang w:val="en-GB"/>
        </w:rPr>
        <w:t xml:space="preserve"> below)</w:t>
      </w:r>
      <w:r w:rsidRPr="004F480E">
        <w:rPr>
          <w:rFonts w:eastAsia="Calibri" w:cs="Arial"/>
          <w:szCs w:val="24"/>
          <w:lang w:val="en-GB"/>
        </w:rPr>
        <w:t>.</w:t>
      </w:r>
      <w:r w:rsidRPr="004F480E">
        <w:rPr>
          <w:rFonts w:eastAsia="Calibri" w:cs="Arial"/>
          <w:sz w:val="22"/>
          <w:szCs w:val="22"/>
          <w:lang w:val="en-GB"/>
        </w:rPr>
        <w:t xml:space="preserve"> </w:t>
      </w:r>
      <w:r w:rsidRPr="004F480E">
        <w:rPr>
          <w:sz w:val="22"/>
          <w:szCs w:val="22"/>
          <w:lang w:val="en-GB"/>
        </w:rPr>
        <w:t>Participation is also open to international organisations.</w:t>
      </w:r>
      <w:bookmarkStart w:id="0" w:name="_DV_M201"/>
      <w:bookmarkEnd w:id="0"/>
      <w:r w:rsidRPr="00A046E7">
        <w:rPr>
          <w:sz w:val="22"/>
          <w:szCs w:val="22"/>
          <w:lang w:val="en-GB"/>
        </w:rPr>
        <w:t xml:space="preserve"> </w:t>
      </w:r>
    </w:p>
    <w:p w14:paraId="2FFEEAC3"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1810026" w14:textId="77777777" w:rsidR="006F5FD0" w:rsidRPr="00B33EE6" w:rsidRDefault="006F5FD0">
      <w:pPr>
        <w:pStyle w:val="Blockquote"/>
        <w:jc w:val="both"/>
        <w:rPr>
          <w:sz w:val="22"/>
          <w:szCs w:val="22"/>
          <w:lang w:val="en-GB"/>
        </w:rPr>
      </w:pPr>
      <w:proofErr w:type="gramStart"/>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whatever the form of participation</w:t>
      </w:r>
      <w:proofErr w:type="gramEnd"/>
      <w:r w:rsidRPr="00B33EE6">
        <w:rPr>
          <w:sz w:val="22"/>
          <w:szCs w:val="22"/>
          <w:lang w:val="en-GB"/>
        </w:rPr>
        <w:t xml:space="preserve">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2CEF8C52"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CE6E972"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w:t>
      </w:r>
      <w:proofErr w:type="gramStart"/>
      <w:r w:rsidRPr="00B33EE6">
        <w:rPr>
          <w:sz w:val="22"/>
          <w:szCs w:val="22"/>
          <w:lang w:val="en-GB"/>
        </w:rPr>
        <w:t>of</w:t>
      </w:r>
      <w:proofErr w:type="gramEnd"/>
      <w:r w:rsidRPr="00B33EE6">
        <w:rPr>
          <w:sz w:val="22"/>
          <w:szCs w:val="22"/>
          <w:lang w:val="en-GB"/>
        </w:rPr>
        <w:t xml:space="preserve">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4196BB71"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w:t>
      </w:r>
      <w:r w:rsidR="0039147E">
        <w:rPr>
          <w:sz w:val="22"/>
          <w:szCs w:val="22"/>
          <w:lang w:val="en-GB"/>
        </w:rPr>
        <w:lastRenderedPageBreak/>
        <w:t xml:space="preserve">moment of the award decision cannot be awarded the contract. </w:t>
      </w:r>
    </w:p>
    <w:p w14:paraId="4EA1AFC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BE20578"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18F896B3" w14:textId="77777777" w:rsidR="006F5FD0" w:rsidRPr="00B33EE6" w:rsidRDefault="00685697">
      <w:pPr>
        <w:keepNext/>
        <w:jc w:val="center"/>
        <w:rPr>
          <w:sz w:val="28"/>
          <w:szCs w:val="28"/>
          <w:lang w:val="en-GB"/>
        </w:rPr>
      </w:pPr>
      <w:r>
        <w:rPr>
          <w:snapToGrid/>
          <w:sz w:val="22"/>
          <w:szCs w:val="22"/>
          <w:lang w:val="en-GB"/>
        </w:rPr>
        <w:pict w14:anchorId="38FCFA89">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13BA1D28"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65FD4FFC" w14:textId="37FE0552" w:rsidR="006F5FD0" w:rsidRPr="00B33EE6" w:rsidRDefault="00C80191" w:rsidP="00571687">
      <w:pPr>
        <w:pStyle w:val="Blockquote"/>
        <w:jc w:val="both"/>
        <w:rPr>
          <w:i/>
          <w:sz w:val="22"/>
          <w:szCs w:val="22"/>
          <w:lang w:val="en-GB"/>
        </w:rPr>
      </w:pPr>
      <w:r>
        <w:rPr>
          <w:rStyle w:val="Emphasis"/>
          <w:i w:val="0"/>
          <w:sz w:val="22"/>
          <w:szCs w:val="22"/>
          <w:lang w:val="en-GB"/>
        </w:rPr>
        <w:t xml:space="preserve">Provisional commencement date of the contract: </w:t>
      </w:r>
      <w:r w:rsidR="00685697">
        <w:rPr>
          <w:rStyle w:val="Emphasis"/>
          <w:i w:val="0"/>
          <w:sz w:val="22"/>
          <w:szCs w:val="22"/>
          <w:lang w:val="en-GB"/>
        </w:rPr>
        <w:t>03.03</w:t>
      </w:r>
      <w:bookmarkStart w:id="1" w:name="_GoBack"/>
      <w:bookmarkEnd w:id="1"/>
      <w:r>
        <w:rPr>
          <w:rStyle w:val="Emphasis"/>
          <w:i w:val="0"/>
          <w:sz w:val="22"/>
          <w:szCs w:val="22"/>
          <w:lang w:val="en-GB"/>
        </w:rPr>
        <w:t>.2020</w:t>
      </w:r>
    </w:p>
    <w:p w14:paraId="41F26930"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0BBA2CD5" w14:textId="77777777" w:rsidR="004F480E" w:rsidRPr="007A732B" w:rsidRDefault="004F480E" w:rsidP="004F480E">
      <w:pPr>
        <w:ind w:firstLine="360"/>
        <w:rPr>
          <w:sz w:val="22"/>
          <w:szCs w:val="22"/>
          <w:lang w:val="en-GB"/>
        </w:rPr>
      </w:pPr>
      <w:r w:rsidRPr="007A732B">
        <w:rPr>
          <w:sz w:val="22"/>
          <w:szCs w:val="22"/>
          <w:lang w:val="en-GB"/>
        </w:rPr>
        <w:t xml:space="preserve">12 months after the signing of the contract </w:t>
      </w:r>
    </w:p>
    <w:p w14:paraId="0056AB6B" w14:textId="77777777" w:rsidR="006F5FD0" w:rsidRPr="00B33EE6" w:rsidRDefault="00685697">
      <w:pPr>
        <w:rPr>
          <w:sz w:val="22"/>
          <w:szCs w:val="22"/>
          <w:lang w:val="en-GB"/>
        </w:rPr>
      </w:pPr>
      <w:r>
        <w:rPr>
          <w:snapToGrid/>
          <w:sz w:val="22"/>
          <w:szCs w:val="22"/>
          <w:lang w:val="en-GB"/>
        </w:rPr>
        <w:pict w14:anchorId="5C2420A6">
          <v:line id="_x0000_s1030" style="position:absolute;z-index:251658752" from="0,12pt" to="468pt,12.05pt" o:allowincell="f" strokecolor="#d4d4d4" strokeweight="1.75pt">
            <v:shadow on="t" origin=",32385f" offset="0,-1pt"/>
          </v:line>
        </w:pict>
      </w:r>
    </w:p>
    <w:p w14:paraId="17FAD8A7"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0D563BAA" w14:textId="77777777"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3CA1B8A1" w14:textId="77777777"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w:t>
      </w:r>
      <w:proofErr w:type="gramStart"/>
      <w:r w:rsidR="006751D2" w:rsidRPr="00B33EE6">
        <w:rPr>
          <w:sz w:val="22"/>
          <w:szCs w:val="22"/>
          <w:lang w:val="en-GB"/>
        </w:rPr>
        <w:t>if</w:t>
      </w:r>
      <w:proofErr w:type="gramEnd"/>
      <w:r w:rsidR="006751D2" w:rsidRPr="00B33EE6">
        <w:rPr>
          <w:sz w:val="22"/>
          <w:szCs w:val="22"/>
          <w:lang w:val="en-GB"/>
        </w:rPr>
        <w:t xml:space="preserve"> not specified otherwise. The selection criteria will not be applied to natural persons and single-member companies when they are sub-contractors.</w:t>
      </w:r>
    </w:p>
    <w:p w14:paraId="2334C49E"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w:t>
      </w:r>
      <w:proofErr w:type="gramStart"/>
      <w:r w:rsidR="006751D2" w:rsidRPr="00B33EE6">
        <w:rPr>
          <w:sz w:val="22"/>
          <w:szCs w:val="22"/>
          <w:lang w:val="en-GB"/>
        </w:rPr>
        <w:t>period which will be taken into account</w:t>
      </w:r>
      <w:proofErr w:type="gramEnd"/>
      <w:r w:rsidR="006751D2" w:rsidRPr="00B33EE6">
        <w:rPr>
          <w:sz w:val="22"/>
          <w:szCs w:val="22"/>
          <w:lang w:val="en-GB"/>
        </w:rPr>
        <w:t xml:space="preserve">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14590288" w14:textId="67C4C0DF" w:rsidR="00AB66C4" w:rsidRDefault="00AB66C4" w:rsidP="00AB66C4">
      <w:pPr>
        <w:pStyle w:val="Blockquote"/>
        <w:numPr>
          <w:ilvl w:val="0"/>
          <w:numId w:val="36"/>
        </w:numPr>
        <w:tabs>
          <w:tab w:val="clear" w:pos="360"/>
          <w:tab w:val="num" w:pos="720"/>
        </w:tabs>
        <w:snapToGrid w:val="0"/>
        <w:ind w:left="720"/>
        <w:jc w:val="both"/>
        <w:rPr>
          <w:sz w:val="22"/>
          <w:szCs w:val="22"/>
          <w:lang w:val="en-GB"/>
        </w:rPr>
      </w:pPr>
      <w:r w:rsidRPr="00487A4D">
        <w:rPr>
          <w:sz w:val="22"/>
          <w:szCs w:val="22"/>
          <w:lang w:val="en-GB"/>
        </w:rPr>
        <w:t xml:space="preserve">The average annual turnover of the tenderer must exceed the </w:t>
      </w:r>
      <w:r w:rsidRPr="00487A4D">
        <w:rPr>
          <w:b/>
          <w:sz w:val="22"/>
          <w:szCs w:val="22"/>
          <w:lang w:val="en-GB"/>
        </w:rPr>
        <w:t>maximum budget of the contract</w:t>
      </w:r>
      <w:r>
        <w:rPr>
          <w:b/>
          <w:sz w:val="22"/>
          <w:szCs w:val="22"/>
          <w:lang w:val="en-GB"/>
        </w:rPr>
        <w:t>;</w:t>
      </w:r>
      <w:r w:rsidRPr="00AE72E4">
        <w:rPr>
          <w:lang w:val="en-GB"/>
        </w:rPr>
        <w:t xml:space="preserve"> </w:t>
      </w:r>
    </w:p>
    <w:p w14:paraId="35C2DBFF" w14:textId="02280AB3" w:rsidR="00AB66C4" w:rsidRDefault="00AB66C4" w:rsidP="00AB66C4">
      <w:pPr>
        <w:pStyle w:val="Blockquote"/>
        <w:numPr>
          <w:ilvl w:val="0"/>
          <w:numId w:val="36"/>
        </w:numPr>
        <w:tabs>
          <w:tab w:val="clear" w:pos="360"/>
          <w:tab w:val="num" w:pos="720"/>
        </w:tabs>
        <w:snapToGrid w:val="0"/>
        <w:ind w:left="720"/>
        <w:jc w:val="both"/>
        <w:rPr>
          <w:sz w:val="22"/>
          <w:szCs w:val="22"/>
          <w:lang w:val="en-GB"/>
        </w:rPr>
      </w:pPr>
      <w:r>
        <w:rPr>
          <w:sz w:val="22"/>
          <w:szCs w:val="22"/>
          <w:lang w:val="en-GB"/>
        </w:rPr>
        <w:t xml:space="preserve">Current ratio (current assets/current liabilities) in the last year for which accounts have been closed must be at least 1. In case of a consortium </w:t>
      </w:r>
      <w:proofErr w:type="gramStart"/>
      <w:r>
        <w:rPr>
          <w:sz w:val="22"/>
          <w:szCs w:val="22"/>
          <w:lang w:val="en-GB"/>
        </w:rPr>
        <w:t>this criterion must be fulfilled by each member</w:t>
      </w:r>
      <w:proofErr w:type="gramEnd"/>
      <w:r>
        <w:rPr>
          <w:sz w:val="22"/>
          <w:szCs w:val="22"/>
          <w:lang w:val="en-GB"/>
        </w:rPr>
        <w:t xml:space="preserve"> or financial situation of the tenderer should not be in deficit, taken into account debts, at the beginning and end of year</w:t>
      </w:r>
      <w:r w:rsidR="007A732B">
        <w:rPr>
          <w:sz w:val="22"/>
          <w:szCs w:val="22"/>
          <w:lang w:val="en-GB"/>
        </w:rPr>
        <w:t>.</w:t>
      </w:r>
    </w:p>
    <w:p w14:paraId="016E8FFF"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0996DA32" w14:textId="77777777" w:rsidR="00BE08EC" w:rsidRDefault="00BE08EC" w:rsidP="00B33EE6">
      <w:pPr>
        <w:pStyle w:val="Blockquote"/>
        <w:ind w:right="357" w:hanging="3"/>
        <w:jc w:val="both"/>
        <w:rPr>
          <w:sz w:val="22"/>
          <w:szCs w:val="22"/>
          <w:lang w:val="en-GB"/>
        </w:rPr>
      </w:pPr>
      <w:r w:rsidRPr="00B33EE6">
        <w:rPr>
          <w:sz w:val="22"/>
          <w:szCs w:val="22"/>
          <w:lang w:val="en-GB"/>
        </w:rPr>
        <w:t xml:space="preserve">The reference </w:t>
      </w:r>
      <w:proofErr w:type="gramStart"/>
      <w:r w:rsidRPr="00B33EE6">
        <w:rPr>
          <w:sz w:val="22"/>
          <w:szCs w:val="22"/>
          <w:lang w:val="en-GB"/>
        </w:rPr>
        <w:t>period which will be taken into account</w:t>
      </w:r>
      <w:proofErr w:type="gramEnd"/>
      <w:r w:rsidRPr="00B33EE6">
        <w:rPr>
          <w:sz w:val="22"/>
          <w:szCs w:val="22"/>
          <w:lang w:val="en-GB"/>
        </w:rPr>
        <w:t xml:space="preserve">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w:t>
      </w:r>
      <w:r w:rsidRPr="008F3009">
        <w:rPr>
          <w:sz w:val="22"/>
          <w:szCs w:val="22"/>
          <w:lang w:val="en-GB"/>
        </w:rPr>
        <w:t>submission deadline.</w:t>
      </w:r>
    </w:p>
    <w:p w14:paraId="1B8CFBE5" w14:textId="4BA3594C" w:rsidR="00DC1BCF" w:rsidRPr="008F3009" w:rsidRDefault="00DC1BCF" w:rsidP="00B33EE6">
      <w:pPr>
        <w:pStyle w:val="Blockquote"/>
        <w:ind w:right="357" w:hanging="3"/>
        <w:jc w:val="both"/>
        <w:rPr>
          <w:sz w:val="22"/>
          <w:szCs w:val="22"/>
          <w:lang w:val="en-GB"/>
        </w:rPr>
      </w:pPr>
      <w:r w:rsidRPr="00DC1BCF">
        <w:rPr>
          <w:sz w:val="22"/>
          <w:szCs w:val="22"/>
          <w:lang w:val="en-GB"/>
        </w:rPr>
        <w:t>•</w:t>
      </w:r>
      <w:r w:rsidRPr="00DC1BCF">
        <w:rPr>
          <w:sz w:val="22"/>
          <w:szCs w:val="22"/>
          <w:lang w:val="en-GB"/>
        </w:rPr>
        <w:tab/>
      </w:r>
      <w:proofErr w:type="gramStart"/>
      <w:r w:rsidRPr="00DC1BCF">
        <w:rPr>
          <w:sz w:val="22"/>
          <w:szCs w:val="22"/>
          <w:lang w:val="en-GB"/>
        </w:rPr>
        <w:t>has</w:t>
      </w:r>
      <w:proofErr w:type="gramEnd"/>
      <w:r w:rsidRPr="00DC1BCF">
        <w:rPr>
          <w:sz w:val="22"/>
          <w:szCs w:val="22"/>
          <w:lang w:val="en-GB"/>
        </w:rPr>
        <w:t xml:space="preserve"> a professional specialisation appropriate to this contract, such as relating to researches, workshops, conferences, reports, publication, projects or researches in the sphere of ecology, biology, environmental protection, services in ecology or other equivalent areas.</w:t>
      </w:r>
    </w:p>
    <w:p w14:paraId="58E5590D" w14:textId="00985B96" w:rsidR="00BE08EC" w:rsidRDefault="00571687" w:rsidP="00B33EE6">
      <w:pPr>
        <w:pStyle w:val="Blockquote"/>
        <w:ind w:left="720" w:right="357" w:hanging="360"/>
        <w:jc w:val="both"/>
        <w:rPr>
          <w:sz w:val="22"/>
          <w:szCs w:val="22"/>
          <w:lang w:val="en-GB"/>
        </w:rPr>
      </w:pPr>
      <w:r w:rsidRPr="00B33EE6">
        <w:rPr>
          <w:b/>
          <w:sz w:val="22"/>
          <w:szCs w:val="22"/>
          <w:u w:val="single"/>
          <w:lang w:val="en-GB"/>
        </w:rPr>
        <w:lastRenderedPageBreak/>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w:t>
      </w:r>
      <w:r w:rsidR="006F5FD0" w:rsidRPr="00FF3F29">
        <w:rPr>
          <w:sz w:val="22"/>
          <w:szCs w:val="22"/>
          <w:lang w:val="en-GB"/>
        </w:rPr>
        <w:t xml:space="preserve">items 5 and 6 of the </w:t>
      </w:r>
      <w:r w:rsidR="00994EA3" w:rsidRPr="00FF3F29">
        <w:rPr>
          <w:sz w:val="22"/>
          <w:szCs w:val="22"/>
          <w:lang w:val="en-GB"/>
        </w:rPr>
        <w:t>tender</w:t>
      </w:r>
      <w:r w:rsidR="006F5FD0" w:rsidRPr="00FF3F29">
        <w:rPr>
          <w:sz w:val="22"/>
          <w:szCs w:val="22"/>
          <w:lang w:val="en-GB"/>
        </w:rPr>
        <w:t xml:space="preserve"> form</w:t>
      </w:r>
      <w:r w:rsidR="00087A72" w:rsidRPr="00FF3F29">
        <w:rPr>
          <w:sz w:val="22"/>
          <w:szCs w:val="22"/>
          <w:lang w:val="en-GB"/>
        </w:rPr>
        <w:t>)</w:t>
      </w:r>
      <w:r w:rsidR="00BE08EC" w:rsidRPr="00FF3F29">
        <w:rPr>
          <w:sz w:val="22"/>
          <w:szCs w:val="22"/>
          <w:lang w:val="en-GB"/>
        </w:rPr>
        <w:t xml:space="preserve">. The reference </w:t>
      </w:r>
      <w:proofErr w:type="gramStart"/>
      <w:r w:rsidR="00BE08EC" w:rsidRPr="00FF3F29">
        <w:rPr>
          <w:sz w:val="22"/>
          <w:szCs w:val="22"/>
          <w:lang w:val="en-GB"/>
        </w:rPr>
        <w:t>period which will be taken into account</w:t>
      </w:r>
      <w:proofErr w:type="gramEnd"/>
      <w:r w:rsidR="00BE08EC" w:rsidRPr="00FF3F29">
        <w:rPr>
          <w:sz w:val="22"/>
          <w:szCs w:val="22"/>
          <w:lang w:val="en-GB"/>
        </w:rPr>
        <w:t xml:space="preserve"> will be the last three</w:t>
      </w:r>
      <w:r w:rsidR="00862885" w:rsidRPr="00FF3F29">
        <w:rPr>
          <w:sz w:val="22"/>
          <w:szCs w:val="22"/>
          <w:lang w:val="en-GB"/>
        </w:rPr>
        <w:t xml:space="preserve"> years</w:t>
      </w:r>
      <w:r w:rsidR="00FF3F29" w:rsidRPr="00FF3F29">
        <w:rPr>
          <w:sz w:val="22"/>
          <w:szCs w:val="22"/>
          <w:lang w:val="en-GB"/>
        </w:rPr>
        <w:t xml:space="preserve"> </w:t>
      </w:r>
      <w:r w:rsidR="00771F97" w:rsidRPr="00FF3F29">
        <w:rPr>
          <w:sz w:val="22"/>
          <w:szCs w:val="22"/>
          <w:lang w:val="en-GB"/>
        </w:rPr>
        <w:t>preceding</w:t>
      </w:r>
      <w:r w:rsidR="00771F97">
        <w:rPr>
          <w:sz w:val="22"/>
          <w:szCs w:val="22"/>
          <w:lang w:val="en-GB"/>
        </w:rPr>
        <w:t xml:space="preserve"> the</w:t>
      </w:r>
      <w:r w:rsidR="00BE08EC" w:rsidRPr="00B33EE6">
        <w:rPr>
          <w:sz w:val="22"/>
          <w:szCs w:val="22"/>
          <w:lang w:val="en-GB"/>
        </w:rPr>
        <w:t xml:space="preserve"> submission </w:t>
      </w:r>
      <w:r w:rsidR="00BE08EC" w:rsidRPr="0035103C">
        <w:rPr>
          <w:sz w:val="22"/>
          <w:szCs w:val="22"/>
          <w:lang w:val="en-GB"/>
        </w:rPr>
        <w:t>deadline.</w:t>
      </w:r>
    </w:p>
    <w:p w14:paraId="22626D2D" w14:textId="53D6AEE3" w:rsidR="0052289E" w:rsidRPr="0052289E" w:rsidRDefault="0052289E" w:rsidP="00B33EE6">
      <w:pPr>
        <w:pStyle w:val="Blockquote"/>
        <w:ind w:left="720" w:right="357" w:hanging="360"/>
        <w:jc w:val="both"/>
        <w:rPr>
          <w:sz w:val="22"/>
          <w:szCs w:val="22"/>
          <w:lang w:val="en-GB"/>
        </w:rPr>
      </w:pPr>
      <w:r w:rsidRPr="0052289E">
        <w:rPr>
          <w:b/>
          <w:sz w:val="22"/>
          <w:szCs w:val="22"/>
          <w:lang w:val="en-GB"/>
        </w:rPr>
        <w:tab/>
      </w:r>
      <w:r>
        <w:rPr>
          <w:b/>
          <w:sz w:val="22"/>
          <w:szCs w:val="22"/>
          <w:lang w:val="en-GB"/>
        </w:rPr>
        <w:t xml:space="preserve">3.1. </w:t>
      </w:r>
      <w:proofErr w:type="gramStart"/>
      <w:r>
        <w:rPr>
          <w:b/>
          <w:sz w:val="22"/>
          <w:szCs w:val="22"/>
          <w:lang w:val="en-GB"/>
        </w:rPr>
        <w:t>The</w:t>
      </w:r>
      <w:proofErr w:type="gramEnd"/>
      <w:r>
        <w:rPr>
          <w:b/>
          <w:sz w:val="22"/>
          <w:szCs w:val="22"/>
          <w:lang w:val="en-GB"/>
        </w:rPr>
        <w:t xml:space="preserve"> contractor</w:t>
      </w:r>
    </w:p>
    <w:p w14:paraId="32454B8C" w14:textId="78547052" w:rsidR="0035103C" w:rsidRPr="00370212" w:rsidRDefault="0035103C" w:rsidP="0035103C">
      <w:pPr>
        <w:pStyle w:val="Blockquote"/>
        <w:numPr>
          <w:ilvl w:val="0"/>
          <w:numId w:val="44"/>
        </w:numPr>
        <w:tabs>
          <w:tab w:val="left" w:pos="426"/>
          <w:tab w:val="left" w:pos="709"/>
        </w:tabs>
        <w:ind w:right="0"/>
        <w:jc w:val="both"/>
        <w:rPr>
          <w:sz w:val="22"/>
          <w:szCs w:val="22"/>
          <w:lang w:val="en-GB"/>
        </w:rPr>
      </w:pPr>
      <w:proofErr w:type="gramStart"/>
      <w:r w:rsidRPr="00370212">
        <w:rPr>
          <w:sz w:val="22"/>
          <w:szCs w:val="22"/>
          <w:lang w:val="en-GB"/>
        </w:rPr>
        <w:t>the</w:t>
      </w:r>
      <w:proofErr w:type="gramEnd"/>
      <w:r w:rsidRPr="00370212">
        <w:rPr>
          <w:sz w:val="22"/>
          <w:szCs w:val="22"/>
          <w:lang w:val="en-GB"/>
        </w:rPr>
        <w:t xml:space="preserve"> tenderer has provided services under at least one contract  in the field of </w:t>
      </w:r>
      <w:r w:rsidRPr="00DC1BCF">
        <w:rPr>
          <w:sz w:val="22"/>
          <w:szCs w:val="22"/>
          <w:lang w:val="en-GB"/>
        </w:rPr>
        <w:t xml:space="preserve">researches, workshops, conferences, reports, publication, projects or researches in the sphere of ecology, biology, environmental protection, services in ecology </w:t>
      </w:r>
      <w:r w:rsidRPr="00370212">
        <w:rPr>
          <w:sz w:val="22"/>
          <w:szCs w:val="22"/>
          <w:lang w:val="en-GB"/>
        </w:rPr>
        <w:t xml:space="preserve">or equivalent which was implemented at any moment during the following period: </w:t>
      </w:r>
      <w:r>
        <w:rPr>
          <w:sz w:val="22"/>
          <w:szCs w:val="22"/>
          <w:lang w:val="en-GB"/>
        </w:rPr>
        <w:t>21.02.2017-21.02</w:t>
      </w:r>
      <w:r w:rsidRPr="00DA3D2A">
        <w:rPr>
          <w:sz w:val="22"/>
          <w:szCs w:val="22"/>
          <w:lang w:val="en-GB"/>
        </w:rPr>
        <w:t>.2020</w:t>
      </w:r>
      <w:r w:rsidRPr="00370212">
        <w:rPr>
          <w:sz w:val="22"/>
          <w:szCs w:val="22"/>
          <w:lang w:val="en-GB"/>
        </w:rPr>
        <w:t>.</w:t>
      </w:r>
      <w:r w:rsidRPr="00370212">
        <w:t xml:space="preserve"> </w:t>
      </w:r>
      <w:r w:rsidRPr="00370212">
        <w:rPr>
          <w:sz w:val="22"/>
          <w:szCs w:val="22"/>
          <w:lang w:val="en-GB"/>
        </w:rPr>
        <w:t xml:space="preserve">The tenderer has to provide list with contracts/services included of the following information as a table: Date of Contract/Service, Contracting Authority, </w:t>
      </w:r>
      <w:proofErr w:type="gramStart"/>
      <w:r w:rsidRPr="00370212">
        <w:rPr>
          <w:sz w:val="22"/>
          <w:szCs w:val="22"/>
          <w:lang w:val="en-GB"/>
        </w:rPr>
        <w:t>Duration</w:t>
      </w:r>
      <w:proofErr w:type="gramEnd"/>
      <w:r w:rsidRPr="00370212">
        <w:rPr>
          <w:sz w:val="22"/>
          <w:szCs w:val="22"/>
          <w:lang w:val="en-GB"/>
        </w:rPr>
        <w:t xml:space="preserve"> of the Contract/Service, Amount of the contract/Service, Scope of the Contract/Service.</w:t>
      </w:r>
    </w:p>
    <w:p w14:paraId="2918BFE6" w14:textId="77777777" w:rsidR="0035103C" w:rsidRDefault="0035103C" w:rsidP="0035103C">
      <w:pPr>
        <w:pStyle w:val="Blockquote"/>
        <w:shd w:val="clear" w:color="auto" w:fill="FFFFFF"/>
        <w:tabs>
          <w:tab w:val="left" w:pos="426"/>
        </w:tabs>
        <w:ind w:left="720" w:right="0"/>
        <w:jc w:val="both"/>
        <w:rPr>
          <w:sz w:val="22"/>
          <w:szCs w:val="22"/>
          <w:lang w:val="en-GB"/>
        </w:rPr>
      </w:pPr>
      <w:r w:rsidRPr="00B5312E">
        <w:rPr>
          <w:sz w:val="22"/>
          <w:szCs w:val="22"/>
          <w:lang w:val="en-GB"/>
        </w:rPr>
        <w:t xml:space="preserve">This means that the service contract the tenderer refers to could have been started or completed at any time during the indicated period but it does not necessarily have to be started and completed during that period, nor implemented during the entire period. Tenderers are allowed to refer either to service contracts completed within the reference period (although started earlier) or to service contracts not yet completed. In the first case the service contract will be considered in its whole if proper evidence of performance is provided (statement or certificate from the entity which awarded the contract, proof of final payment for services). In case of service contract still </w:t>
      </w:r>
      <w:proofErr w:type="gramStart"/>
      <w:r w:rsidRPr="00B5312E">
        <w:rPr>
          <w:sz w:val="22"/>
          <w:szCs w:val="22"/>
          <w:lang w:val="en-GB"/>
        </w:rPr>
        <w:t>on-going</w:t>
      </w:r>
      <w:proofErr w:type="gramEnd"/>
      <w:r w:rsidRPr="00B5312E">
        <w:rPr>
          <w:sz w:val="22"/>
          <w:szCs w:val="22"/>
          <w:lang w:val="en-GB"/>
        </w:rPr>
        <w:t xml:space="preserve"> only the portion satisfactorily completed during the reference period although started earlier will be taken into consideration. This portion will have to be supported by documentary evidence (similarly to service contracts completed)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4504D3DA" w14:textId="77777777" w:rsidR="0035103C" w:rsidRDefault="004F00C7" w:rsidP="0035103C">
      <w:pPr>
        <w:pStyle w:val="Blockquote"/>
        <w:shd w:val="clear" w:color="auto" w:fill="FFFFFF"/>
        <w:tabs>
          <w:tab w:val="left" w:pos="426"/>
        </w:tabs>
        <w:ind w:left="720" w:right="0"/>
        <w:jc w:val="both"/>
        <w:rPr>
          <w:sz w:val="22"/>
          <w:szCs w:val="22"/>
          <w:lang w:val="en-GB"/>
        </w:rPr>
      </w:pPr>
      <w:r w:rsidRPr="00B33EE6">
        <w:rPr>
          <w:sz w:val="22"/>
          <w:szCs w:val="22"/>
          <w:lang w:val="en-GB"/>
        </w:rPr>
        <w:t xml:space="preserve">Previous </w:t>
      </w:r>
      <w:proofErr w:type="gramStart"/>
      <w:r w:rsidRPr="00B33EE6">
        <w:rPr>
          <w:sz w:val="22"/>
          <w:szCs w:val="22"/>
          <w:lang w:val="en-GB"/>
        </w:rPr>
        <w:t xml:space="preserve">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w:t>
      </w:r>
      <w:proofErr w:type="gramEnd"/>
      <w:r w:rsidRPr="00B33EE6">
        <w:rPr>
          <w:sz w:val="22"/>
          <w:szCs w:val="22"/>
          <w:lang w:val="en-GB"/>
        </w:rPr>
        <w:t xml:space="preserve"> shall not be used as reference. This is also applicable concerning the previous experience of experts required under a fee-based service contract.</w:t>
      </w:r>
    </w:p>
    <w:p w14:paraId="588FF23E" w14:textId="65403819" w:rsidR="007121FB" w:rsidRDefault="005B4F80" w:rsidP="0035103C">
      <w:pPr>
        <w:pStyle w:val="Blockquote"/>
        <w:shd w:val="clear" w:color="auto" w:fill="FFFFFF"/>
        <w:tabs>
          <w:tab w:val="left" w:pos="426"/>
        </w:tabs>
        <w:ind w:left="720" w:right="0"/>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w:t>
      </w:r>
      <w:proofErr w:type="gramStart"/>
      <w:r w:rsidRPr="00B33EE6">
        <w:rPr>
          <w:sz w:val="22"/>
          <w:szCs w:val="22"/>
          <w:lang w:val="en-GB"/>
        </w:rPr>
        <w:t>links which</w:t>
      </w:r>
      <w:proofErr w:type="gramEnd"/>
      <w:r w:rsidRPr="00B33EE6">
        <w:rPr>
          <w:sz w:val="22"/>
          <w:szCs w:val="22"/>
          <w:lang w:val="en-GB"/>
        </w:rPr>
        <w:t xml:space="preserve">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Pr="00B33EE6">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7121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comply with the selection criteria for which the economic operator relies on them</w:t>
      </w:r>
      <w:r w:rsidR="007121FB" w:rsidRPr="00B33EE6">
        <w:rPr>
          <w:sz w:val="22"/>
          <w:szCs w:val="22"/>
          <w:lang w:val="en-GB"/>
        </w:rPr>
        <w:t>.</w:t>
      </w:r>
      <w:r w:rsidR="00CF759C" w:rsidRPr="00B33EE6">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C04FCE">
        <w:rPr>
          <w:sz w:val="22"/>
          <w:szCs w:val="22"/>
          <w:lang w:val="en-GB"/>
        </w:rPr>
        <w:t xml:space="preserve"> </w:t>
      </w:r>
      <w:r w:rsidR="00CF759C" w:rsidRPr="00B33EE6">
        <w:rPr>
          <w:sz w:val="22"/>
          <w:szCs w:val="22"/>
          <w:lang w:val="en-GB"/>
        </w:rPr>
        <w:t xml:space="preserve">With regard to technical and professional criteria, an economic operator may only rely on the capacities of other entities where the latter will perform </w:t>
      </w:r>
      <w:proofErr w:type="gramStart"/>
      <w:r w:rsidR="00CF759C" w:rsidRPr="00B33EE6">
        <w:rPr>
          <w:sz w:val="22"/>
          <w:szCs w:val="22"/>
          <w:lang w:val="en-GB"/>
        </w:rPr>
        <w:t>the  services</w:t>
      </w:r>
      <w:proofErr w:type="gramEnd"/>
      <w:r w:rsidR="00CF759C" w:rsidRPr="00B33EE6">
        <w:rPr>
          <w:sz w:val="22"/>
          <w:szCs w:val="22"/>
          <w:lang w:val="en-GB"/>
        </w:rPr>
        <w:t xml:space="preserve"> for which these capacities are required.</w:t>
      </w:r>
      <w:r w:rsidR="00F17A90" w:rsidRPr="00B33EE6">
        <w:rPr>
          <w:sz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14:paraId="6E002995" w14:textId="17482148" w:rsidR="0052289E" w:rsidRDefault="0052289E" w:rsidP="0035103C">
      <w:pPr>
        <w:pStyle w:val="Blockquote"/>
        <w:shd w:val="clear" w:color="auto" w:fill="FFFFFF"/>
        <w:tabs>
          <w:tab w:val="left" w:pos="426"/>
        </w:tabs>
        <w:ind w:left="720" w:right="0"/>
        <w:jc w:val="both"/>
        <w:rPr>
          <w:b/>
          <w:sz w:val="22"/>
          <w:szCs w:val="22"/>
          <w:lang w:val="en-GB"/>
        </w:rPr>
      </w:pPr>
      <w:r>
        <w:rPr>
          <w:b/>
          <w:sz w:val="22"/>
          <w:szCs w:val="22"/>
          <w:lang w:val="en-GB"/>
        </w:rPr>
        <w:lastRenderedPageBreak/>
        <w:t xml:space="preserve">3.2. </w:t>
      </w:r>
      <w:proofErr w:type="gramStart"/>
      <w:r>
        <w:rPr>
          <w:b/>
          <w:sz w:val="22"/>
          <w:szCs w:val="22"/>
          <w:lang w:val="en-GB"/>
        </w:rPr>
        <w:t>The</w:t>
      </w:r>
      <w:proofErr w:type="gramEnd"/>
      <w:r>
        <w:rPr>
          <w:b/>
          <w:sz w:val="22"/>
          <w:szCs w:val="22"/>
          <w:lang w:val="en-GB"/>
        </w:rPr>
        <w:t xml:space="preserve"> key expert</w:t>
      </w:r>
    </w:p>
    <w:p w14:paraId="7E7CC9B1" w14:textId="77777777" w:rsidR="00EE13F9" w:rsidRPr="00EE13F9" w:rsidRDefault="00EE13F9" w:rsidP="00EE13F9">
      <w:pPr>
        <w:pStyle w:val="Blockquote"/>
        <w:shd w:val="clear" w:color="auto" w:fill="FFFFFF"/>
        <w:tabs>
          <w:tab w:val="left" w:pos="426"/>
        </w:tabs>
        <w:ind w:left="720"/>
        <w:jc w:val="both"/>
        <w:rPr>
          <w:sz w:val="22"/>
          <w:szCs w:val="22"/>
          <w:lang w:val="en-GB"/>
        </w:rPr>
      </w:pPr>
      <w:r w:rsidRPr="00EE13F9">
        <w:rPr>
          <w:sz w:val="22"/>
          <w:szCs w:val="22"/>
          <w:lang w:val="en-GB"/>
        </w:rPr>
        <w:t xml:space="preserve">The </w:t>
      </w:r>
      <w:proofErr w:type="gramStart"/>
      <w:r w:rsidRPr="00EE13F9">
        <w:rPr>
          <w:sz w:val="22"/>
          <w:szCs w:val="22"/>
          <w:lang w:val="en-GB"/>
        </w:rPr>
        <w:t>contractor  shall</w:t>
      </w:r>
      <w:proofErr w:type="gramEnd"/>
      <w:r w:rsidRPr="00EE13F9">
        <w:rPr>
          <w:sz w:val="22"/>
          <w:szCs w:val="22"/>
          <w:lang w:val="en-GB"/>
        </w:rPr>
        <w:t xml:space="preserve"> provide five CVs  of  experts with specific profile who shall be engaged with project with following qualification: </w:t>
      </w:r>
    </w:p>
    <w:p w14:paraId="78584DB0" w14:textId="77777777" w:rsidR="002A4444" w:rsidRDefault="00EE13F9" w:rsidP="002A4444">
      <w:pPr>
        <w:pStyle w:val="Blockquote"/>
        <w:numPr>
          <w:ilvl w:val="0"/>
          <w:numId w:val="44"/>
        </w:numPr>
        <w:shd w:val="clear" w:color="auto" w:fill="FFFFFF"/>
        <w:tabs>
          <w:tab w:val="left" w:pos="426"/>
        </w:tabs>
        <w:jc w:val="both"/>
        <w:rPr>
          <w:sz w:val="22"/>
          <w:szCs w:val="22"/>
          <w:lang w:val="en-GB"/>
        </w:rPr>
      </w:pPr>
      <w:r w:rsidRPr="00EE13F9">
        <w:rPr>
          <w:sz w:val="22"/>
          <w:szCs w:val="22"/>
          <w:lang w:val="en-GB"/>
        </w:rPr>
        <w:t xml:space="preserve">University Master's or Bachelor’s degree in Biology, Ecology, Agriculture, Nature sciences such as Physics, Chemistry, Environment, Social science, Geography, or equivalent qualification. </w:t>
      </w:r>
    </w:p>
    <w:p w14:paraId="145DAEDF" w14:textId="77777777" w:rsidR="002A4444" w:rsidRDefault="00EE13F9" w:rsidP="002A4444">
      <w:pPr>
        <w:pStyle w:val="Blockquote"/>
        <w:numPr>
          <w:ilvl w:val="0"/>
          <w:numId w:val="44"/>
        </w:numPr>
        <w:shd w:val="clear" w:color="auto" w:fill="FFFFFF"/>
        <w:tabs>
          <w:tab w:val="left" w:pos="426"/>
        </w:tabs>
        <w:jc w:val="both"/>
        <w:rPr>
          <w:sz w:val="22"/>
          <w:szCs w:val="22"/>
          <w:lang w:val="en-GB"/>
        </w:rPr>
      </w:pPr>
      <w:r w:rsidRPr="002A4444">
        <w:rPr>
          <w:sz w:val="22"/>
          <w:szCs w:val="22"/>
          <w:lang w:val="en-GB"/>
        </w:rPr>
        <w:t>Excellent command if accompanied by working experience relevant to the position.</w:t>
      </w:r>
    </w:p>
    <w:p w14:paraId="31D262EA" w14:textId="77777777" w:rsidR="002A4444" w:rsidRDefault="00EE13F9" w:rsidP="002A4444">
      <w:pPr>
        <w:pStyle w:val="Blockquote"/>
        <w:numPr>
          <w:ilvl w:val="0"/>
          <w:numId w:val="44"/>
        </w:numPr>
        <w:shd w:val="clear" w:color="auto" w:fill="FFFFFF"/>
        <w:tabs>
          <w:tab w:val="left" w:pos="426"/>
        </w:tabs>
        <w:jc w:val="both"/>
        <w:rPr>
          <w:sz w:val="22"/>
          <w:szCs w:val="22"/>
          <w:lang w:val="en-GB"/>
        </w:rPr>
      </w:pPr>
      <w:r w:rsidRPr="002A4444">
        <w:rPr>
          <w:sz w:val="22"/>
          <w:szCs w:val="22"/>
          <w:lang w:val="en-GB"/>
        </w:rPr>
        <w:t xml:space="preserve">Minimum </w:t>
      </w:r>
      <w:proofErr w:type="gramStart"/>
      <w:r w:rsidRPr="002A4444">
        <w:rPr>
          <w:sz w:val="22"/>
          <w:szCs w:val="22"/>
          <w:lang w:val="en-GB"/>
        </w:rPr>
        <w:t>1 year</w:t>
      </w:r>
      <w:proofErr w:type="gramEnd"/>
      <w:r w:rsidRPr="002A4444">
        <w:rPr>
          <w:sz w:val="22"/>
          <w:szCs w:val="22"/>
          <w:lang w:val="en-GB"/>
        </w:rPr>
        <w:t xml:space="preserve"> experience in the areas relevant to the </w:t>
      </w:r>
      <w:proofErr w:type="spellStart"/>
      <w:r w:rsidRPr="002A4444">
        <w:rPr>
          <w:sz w:val="22"/>
          <w:szCs w:val="22"/>
          <w:lang w:val="en-GB"/>
        </w:rPr>
        <w:t>assigment</w:t>
      </w:r>
      <w:proofErr w:type="spellEnd"/>
      <w:r w:rsidRPr="002A4444">
        <w:rPr>
          <w:sz w:val="22"/>
          <w:szCs w:val="22"/>
          <w:lang w:val="en-GB"/>
        </w:rPr>
        <w:t xml:space="preserve"> (ecology, biology, research or study in environment, regional development, etc.)</w:t>
      </w:r>
    </w:p>
    <w:p w14:paraId="62FB305A" w14:textId="77777777" w:rsidR="002A4444" w:rsidRDefault="00EE13F9" w:rsidP="002A4444">
      <w:pPr>
        <w:pStyle w:val="Blockquote"/>
        <w:numPr>
          <w:ilvl w:val="0"/>
          <w:numId w:val="44"/>
        </w:numPr>
        <w:shd w:val="clear" w:color="auto" w:fill="FFFFFF"/>
        <w:tabs>
          <w:tab w:val="left" w:pos="426"/>
        </w:tabs>
        <w:jc w:val="both"/>
        <w:rPr>
          <w:sz w:val="22"/>
          <w:szCs w:val="22"/>
          <w:lang w:val="en-GB"/>
        </w:rPr>
      </w:pPr>
      <w:r w:rsidRPr="002A4444">
        <w:rPr>
          <w:sz w:val="22"/>
          <w:szCs w:val="22"/>
          <w:lang w:val="en-GB"/>
        </w:rPr>
        <w:t>Excellent communication, report, writing, presentation, research and analytical skills</w:t>
      </w:r>
    </w:p>
    <w:p w14:paraId="19034A74" w14:textId="597AE75A" w:rsidR="0052289E" w:rsidRPr="002A4444" w:rsidRDefault="00EE13F9" w:rsidP="002A4444">
      <w:pPr>
        <w:pStyle w:val="Blockquote"/>
        <w:numPr>
          <w:ilvl w:val="0"/>
          <w:numId w:val="44"/>
        </w:numPr>
        <w:shd w:val="clear" w:color="auto" w:fill="FFFFFF"/>
        <w:tabs>
          <w:tab w:val="left" w:pos="426"/>
        </w:tabs>
        <w:jc w:val="both"/>
        <w:rPr>
          <w:sz w:val="22"/>
          <w:szCs w:val="22"/>
          <w:lang w:val="en-GB"/>
        </w:rPr>
      </w:pPr>
      <w:r w:rsidRPr="002A4444">
        <w:rPr>
          <w:sz w:val="22"/>
          <w:szCs w:val="22"/>
          <w:lang w:val="en-GB"/>
        </w:rPr>
        <w:t>Total Work Experience – 2 years at least.</w:t>
      </w:r>
    </w:p>
    <w:p w14:paraId="1899F032" w14:textId="5B0A4ECC" w:rsidR="00EE13F9" w:rsidRPr="00EE13F9" w:rsidRDefault="00EE13F9" w:rsidP="00EE13F9">
      <w:pPr>
        <w:pStyle w:val="Blockquote"/>
        <w:shd w:val="clear" w:color="auto" w:fill="FFFFFF"/>
        <w:tabs>
          <w:tab w:val="left" w:pos="426"/>
        </w:tabs>
        <w:ind w:left="720"/>
        <w:jc w:val="both"/>
        <w:rPr>
          <w:sz w:val="22"/>
          <w:szCs w:val="22"/>
          <w:lang w:val="en-GB"/>
        </w:rPr>
      </w:pPr>
      <w:r w:rsidRPr="00EE13F9">
        <w:rPr>
          <w:sz w:val="22"/>
          <w:szCs w:val="22"/>
          <w:lang w:val="en-GB"/>
        </w:rPr>
        <w:t>Other requirements to all 5 experts: Not have a criminal record and not the recipient of orders that concern the application of preventive measures, civil decisions and measures administrative entered in the judicial record; Not be subjected to criminal or accounting procedures.</w:t>
      </w:r>
    </w:p>
    <w:p w14:paraId="64A06E73" w14:textId="77777777" w:rsidR="00EE13F9" w:rsidRPr="00EE13F9" w:rsidRDefault="00EE13F9" w:rsidP="00EE13F9">
      <w:pPr>
        <w:pStyle w:val="Blockquote"/>
        <w:shd w:val="clear" w:color="auto" w:fill="FFFFFF"/>
        <w:tabs>
          <w:tab w:val="left" w:pos="426"/>
        </w:tabs>
        <w:ind w:left="720"/>
        <w:jc w:val="both"/>
        <w:rPr>
          <w:sz w:val="22"/>
          <w:szCs w:val="22"/>
          <w:lang w:val="en-GB"/>
        </w:rPr>
      </w:pPr>
      <w:r w:rsidRPr="00EE13F9">
        <w:rPr>
          <w:sz w:val="22"/>
          <w:szCs w:val="22"/>
          <w:lang w:val="en-GB"/>
        </w:rPr>
        <w:t>All experts must be independent and free from conflicts of interest in the responsibilities they take on.</w:t>
      </w:r>
    </w:p>
    <w:p w14:paraId="06F07A93" w14:textId="79BA2C22" w:rsidR="00EE13F9" w:rsidRPr="00EE13F9" w:rsidRDefault="00EE13F9" w:rsidP="00EE13F9">
      <w:pPr>
        <w:pStyle w:val="Blockquote"/>
        <w:shd w:val="clear" w:color="auto" w:fill="FFFFFF"/>
        <w:tabs>
          <w:tab w:val="left" w:pos="426"/>
        </w:tabs>
        <w:ind w:left="720" w:right="0"/>
        <w:jc w:val="both"/>
        <w:rPr>
          <w:sz w:val="22"/>
          <w:szCs w:val="22"/>
          <w:lang w:val="en-GB"/>
        </w:rPr>
      </w:pPr>
      <w:r w:rsidRPr="00EE13F9">
        <w:rPr>
          <w:sz w:val="22"/>
          <w:szCs w:val="22"/>
          <w:lang w:val="en-GB"/>
        </w:rPr>
        <w:t xml:space="preserve">All required information for key experts - CVs, experience, list of contracts must be filled in: b8h_annexivexperts_en.xlsx  </w:t>
      </w:r>
    </w:p>
    <w:p w14:paraId="56163D0E" w14:textId="77777777" w:rsidR="003E243C" w:rsidRPr="00B33EE6" w:rsidRDefault="003E243C" w:rsidP="0035103C">
      <w:pPr>
        <w:pStyle w:val="Blockquote"/>
        <w:shd w:val="clear" w:color="auto" w:fill="FFFFFF"/>
        <w:tabs>
          <w:tab w:val="left" w:pos="426"/>
        </w:tabs>
        <w:ind w:left="720" w:right="0"/>
        <w:jc w:val="both"/>
        <w:rPr>
          <w:sz w:val="22"/>
          <w:szCs w:val="22"/>
          <w:lang w:val="en-GB"/>
        </w:rPr>
      </w:pPr>
    </w:p>
    <w:p w14:paraId="254D2657"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1BC4AE13" w14:textId="77777777"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14:paraId="6356D9E7" w14:textId="77777777" w:rsidR="006F5FD0" w:rsidRPr="00B33EE6" w:rsidRDefault="00685697">
      <w:pPr>
        <w:rPr>
          <w:sz w:val="22"/>
          <w:szCs w:val="22"/>
          <w:lang w:val="en-GB"/>
        </w:rPr>
      </w:pPr>
      <w:r>
        <w:rPr>
          <w:snapToGrid/>
          <w:sz w:val="22"/>
          <w:szCs w:val="22"/>
          <w:lang w:val="en-GB"/>
        </w:rPr>
        <w:pict w14:anchorId="71057A0F">
          <v:line id="_x0000_s1031" style="position:absolute;z-index:251659776" from="0,12pt" to="468pt,12.05pt" o:allowincell="f" strokecolor="#d4d4d4" strokeweight="1.75pt">
            <v:shadow on="t" origin=",32385f" offset="0,-1pt"/>
          </v:line>
        </w:pict>
      </w:r>
    </w:p>
    <w:p w14:paraId="15F26C4E" w14:textId="77777777" w:rsidR="006F5FD0" w:rsidRPr="00B33EE6" w:rsidRDefault="00994EA3">
      <w:pPr>
        <w:keepNext/>
        <w:jc w:val="center"/>
        <w:rPr>
          <w:sz w:val="28"/>
          <w:szCs w:val="28"/>
          <w:lang w:val="en-GB"/>
        </w:rPr>
      </w:pPr>
      <w:r w:rsidRPr="00B33EE6">
        <w:rPr>
          <w:rStyle w:val="Strong"/>
          <w:sz w:val="28"/>
          <w:szCs w:val="28"/>
          <w:lang w:val="en-GB"/>
        </w:rPr>
        <w:t>TENDERING</w:t>
      </w:r>
    </w:p>
    <w:p w14:paraId="1031A9B5"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receipt of </w:t>
      </w:r>
      <w:r w:rsidRPr="00B33EE6">
        <w:rPr>
          <w:rStyle w:val="Strong"/>
          <w:sz w:val="22"/>
          <w:szCs w:val="22"/>
          <w:lang w:val="en-GB"/>
        </w:rPr>
        <w:t>tenders</w:t>
      </w:r>
    </w:p>
    <w:p w14:paraId="5C482F29"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receipt 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584630C1"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17C9356E" w14:textId="77777777"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9" w:history="1">
        <w:r w:rsidR="00940E1D" w:rsidRPr="00B33EE6">
          <w:rPr>
            <w:rStyle w:val="Hyperlink"/>
            <w:sz w:val="22"/>
            <w:szCs w:val="22"/>
            <w:lang w:val="en-GB"/>
          </w:rPr>
          <w:t>http://ec.europa.eu/europeaid/prag/annexes.do?group=B</w:t>
        </w:r>
      </w:hyperlink>
      <w:proofErr w:type="gramStart"/>
      <w:r w:rsidR="00940E1D" w:rsidRPr="00B33EE6">
        <w:rPr>
          <w:sz w:val="22"/>
          <w:szCs w:val="22"/>
          <w:lang w:val="en-GB"/>
        </w:rPr>
        <w:t xml:space="preserve"> </w:t>
      </w:r>
      <w:r w:rsidR="006714ED" w:rsidRPr="00B33EE6">
        <w:rPr>
          <w:sz w:val="22"/>
          <w:szCs w:val="22"/>
          <w:lang w:val="en-GB"/>
        </w:rPr>
        <w:t>,</w:t>
      </w:r>
      <w:proofErr w:type="gramEnd"/>
      <w:r w:rsidR="006714ED" w:rsidRPr="00B33EE6">
        <w:rPr>
          <w:sz w:val="22"/>
          <w:szCs w:val="22"/>
          <w:lang w:val="en-GB"/>
        </w:rPr>
        <w:t xml:space="preserve"> under the zip file called Simplified Tender dossier. </w:t>
      </w:r>
    </w:p>
    <w:p w14:paraId="1D138438" w14:textId="77777777" w:rsidR="004D5EDB" w:rsidRPr="00B33EE6" w:rsidRDefault="004D5EDB" w:rsidP="00B33EE6">
      <w:pPr>
        <w:pStyle w:val="Blockquote"/>
        <w:jc w:val="both"/>
        <w:rPr>
          <w:sz w:val="22"/>
          <w:szCs w:val="22"/>
          <w:lang w:val="en-GB"/>
        </w:rPr>
      </w:pPr>
      <w:r w:rsidRPr="00B33EE6">
        <w:rPr>
          <w:sz w:val="22"/>
          <w:szCs w:val="22"/>
          <w:lang w:val="en-GB"/>
        </w:rPr>
        <w:lastRenderedPageBreak/>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10C42838" w14:textId="77777777" w:rsidR="004D5EDB" w:rsidRPr="00B33EE6" w:rsidRDefault="00685697" w:rsidP="004D5EDB">
      <w:pPr>
        <w:pStyle w:val="Blockquote"/>
        <w:jc w:val="both"/>
        <w:rPr>
          <w:sz w:val="22"/>
          <w:szCs w:val="22"/>
          <w:lang w:val="en-GB"/>
        </w:rPr>
      </w:pPr>
      <w:hyperlink r:id="rId10"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5047B7F2"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6A68A351"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4B4E438D"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14824BFF"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65AA2BF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4C654A4B"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64DFF57D"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7ED998DE" w14:textId="77777777"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14:paraId="7CCA8264"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7FF93F5E"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180101E5" w14:textId="77777777" w:rsidR="006F5FD0" w:rsidRPr="00B33EE6" w:rsidRDefault="004E1482" w:rsidP="00584BF4">
      <w:pPr>
        <w:ind w:left="709" w:hanging="349"/>
        <w:outlineLvl w:val="0"/>
        <w:rPr>
          <w:rStyle w:val="Strong"/>
          <w:sz w:val="22"/>
          <w:szCs w:val="22"/>
          <w:lang w:val="en-GB"/>
        </w:rPr>
      </w:pPr>
      <w:r w:rsidRPr="00B33EE6">
        <w:rPr>
          <w:rStyle w:val="Strong"/>
          <w:sz w:val="22"/>
          <w:szCs w:val="22"/>
          <w:lang w:val="en-GB"/>
        </w:rPr>
        <w:t>2</w:t>
      </w:r>
      <w:r w:rsidR="006714ED" w:rsidRPr="00B33EE6">
        <w:rPr>
          <w:rStyle w:val="Strong"/>
          <w:sz w:val="22"/>
          <w:szCs w:val="22"/>
          <w:lang w:val="en-GB"/>
        </w:rPr>
        <w:t>3</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Legal basis</w:t>
      </w:r>
    </w:p>
    <w:p w14:paraId="1C45B275" w14:textId="77777777" w:rsidR="00E82820" w:rsidRDefault="00E82820" w:rsidP="00E82820">
      <w:pPr>
        <w:pStyle w:val="Blockquote"/>
        <w:jc w:val="both"/>
        <w:rPr>
          <w:sz w:val="22"/>
          <w:szCs w:val="22"/>
          <w:lang w:val="en-GB"/>
        </w:rPr>
      </w:pPr>
      <w:r>
        <w:rPr>
          <w:sz w:val="22"/>
          <w:szCs w:val="22"/>
          <w:lang w:val="en-GB"/>
        </w:rPr>
        <w:t xml:space="preserve">Regulation (EU) N°236/2014 of the European Parliament and of the Council of 11 March 2014 laying down common rules and procedures for the implementation of the Union's instruments for financing external action </w:t>
      </w:r>
    </w:p>
    <w:p w14:paraId="5C521DA7" w14:textId="77777777" w:rsidR="00E82820" w:rsidRDefault="00E82820" w:rsidP="00E82820">
      <w:pPr>
        <w:pStyle w:val="Blockquote"/>
        <w:jc w:val="both"/>
        <w:rPr>
          <w:sz w:val="22"/>
          <w:szCs w:val="22"/>
          <w:lang w:val="en-GB"/>
        </w:rPr>
      </w:pPr>
      <w:r>
        <w:rPr>
          <w:sz w:val="22"/>
          <w:szCs w:val="22"/>
          <w:lang w:val="en-GB"/>
        </w:rPr>
        <w:t>Regulation (EU) No 231/2014 of the European Parliament and of the Council of 11 March 2014 establishing an Instrument for Pre-accession Assistance (IPA II)</w:t>
      </w:r>
    </w:p>
    <w:p w14:paraId="79D1AF68" w14:textId="77777777" w:rsidR="00E82820" w:rsidRDefault="00E82820" w:rsidP="00E82820">
      <w:pPr>
        <w:pStyle w:val="Blockquote"/>
        <w:jc w:val="both"/>
        <w:rPr>
          <w:sz w:val="22"/>
          <w:szCs w:val="22"/>
          <w:lang w:val="en-GB"/>
        </w:rPr>
      </w:pPr>
      <w:r>
        <w:rPr>
          <w:sz w:val="22"/>
          <w:szCs w:val="22"/>
          <w:lang w:val="en-GB"/>
        </w:rPr>
        <w:t>Commission Implementing Regulation (EU) No 447/2014 of 2 May 2014 on the specific rules for implementing Regulation (EU) No 231/2014 of the European Parliament and of the Council establishing an Instrument for Pre-accession assistance (IPA II)</w:t>
      </w:r>
    </w:p>
    <w:p w14:paraId="1349C8DA" w14:textId="77777777" w:rsidR="00E82820" w:rsidRDefault="00E82820" w:rsidP="00E82820">
      <w:pPr>
        <w:pStyle w:val="Blockquote"/>
        <w:jc w:val="both"/>
        <w:rPr>
          <w:sz w:val="22"/>
          <w:szCs w:val="22"/>
          <w:lang w:val="en-GB"/>
        </w:rPr>
      </w:pPr>
      <w:r>
        <w:rPr>
          <w:sz w:val="22"/>
          <w:szCs w:val="22"/>
          <w:lang w:val="en-GB"/>
        </w:rPr>
        <w:t>Regulation (EU, EURATOM) No 966/2012 of the European Parliament and of the Council of 25 October 2012 on the financial rules applicable to the general budget of the Union and repealing Council Regulation (EC, EURATOM) No 1605/2002 (EU Financial Regulation);</w:t>
      </w:r>
    </w:p>
    <w:p w14:paraId="6435EC3B" w14:textId="77777777" w:rsidR="00E82820" w:rsidRDefault="00E82820" w:rsidP="00E82820">
      <w:pPr>
        <w:pStyle w:val="Blockquote"/>
        <w:jc w:val="both"/>
        <w:rPr>
          <w:sz w:val="22"/>
          <w:szCs w:val="22"/>
          <w:lang w:val="en-GB"/>
        </w:rPr>
      </w:pPr>
      <w:r>
        <w:rPr>
          <w:sz w:val="22"/>
          <w:szCs w:val="22"/>
          <w:lang w:val="en-GB"/>
        </w:rPr>
        <w:t xml:space="preserve">Commission Delegated Regulation (EU) No 1268/2012 of 29 October 2012 on the rules of application of Regulation (EU, </w:t>
      </w:r>
      <w:proofErr w:type="spellStart"/>
      <w:r>
        <w:rPr>
          <w:sz w:val="22"/>
          <w:szCs w:val="22"/>
          <w:lang w:val="en-GB"/>
        </w:rPr>
        <w:t>Euratom</w:t>
      </w:r>
      <w:proofErr w:type="spellEnd"/>
      <w:r>
        <w:rPr>
          <w:sz w:val="22"/>
          <w:szCs w:val="22"/>
          <w:lang w:val="en-GB"/>
        </w:rPr>
        <w:t xml:space="preserve">) No 966/2012 of the European Parliament and of the </w:t>
      </w:r>
      <w:r>
        <w:rPr>
          <w:sz w:val="22"/>
          <w:szCs w:val="22"/>
          <w:lang w:val="en-GB"/>
        </w:rPr>
        <w:lastRenderedPageBreak/>
        <w:t>Council on the financial rules applicable to the general budget of the Union.</w:t>
      </w:r>
    </w:p>
    <w:p w14:paraId="42805147" w14:textId="77777777" w:rsidR="00E82820" w:rsidRDefault="00E82820" w:rsidP="00E82820">
      <w:pPr>
        <w:pStyle w:val="Blockquote"/>
        <w:jc w:val="both"/>
        <w:rPr>
          <w:sz w:val="22"/>
          <w:szCs w:val="22"/>
          <w:lang w:val="en-GB"/>
        </w:rPr>
      </w:pPr>
      <w:r>
        <w:rPr>
          <w:sz w:val="22"/>
          <w:szCs w:val="22"/>
          <w:lang w:val="en-GB"/>
        </w:rPr>
        <w:t>Regulation (EU) No 1299/2013 of the European Parliament and of the Council of 17 December 2013 on specific provisions for the support from the European Regional Development Fund to the European territorial cooperation goal;</w:t>
      </w:r>
    </w:p>
    <w:p w14:paraId="68C0EF35" w14:textId="77777777" w:rsidR="00E82820" w:rsidRDefault="00E82820" w:rsidP="00E82820">
      <w:pPr>
        <w:pStyle w:val="Blockquote"/>
        <w:jc w:val="both"/>
        <w:rPr>
          <w:sz w:val="22"/>
          <w:szCs w:val="22"/>
          <w:lang w:val="en-GB"/>
        </w:rPr>
      </w:pPr>
      <w:r>
        <w:rPr>
          <w:sz w:val="22"/>
          <w:szCs w:val="22"/>
          <w:lang w:val="en-GB"/>
        </w:rPr>
        <w:t>Commission Delegated Regulation (EU) No 481/2014 of 4 March 2014 supplementing Regulation (EU) No 1299/2013 of the European Parliament and of the Council with regard to specific rules on eligibility of expenditure for cooperation programmes</w:t>
      </w:r>
      <w:proofErr w:type="gramStart"/>
      <w:r>
        <w:rPr>
          <w:sz w:val="22"/>
          <w:szCs w:val="22"/>
          <w:lang w:val="en-GB"/>
        </w:rPr>
        <w:t>;</w:t>
      </w:r>
      <w:proofErr w:type="gramEnd"/>
    </w:p>
    <w:p w14:paraId="68C7F611" w14:textId="77777777" w:rsidR="00E82820" w:rsidRDefault="00E82820" w:rsidP="00E82820">
      <w:pPr>
        <w:pStyle w:val="Blockquote"/>
        <w:jc w:val="both"/>
        <w:rPr>
          <w:sz w:val="22"/>
          <w:szCs w:val="22"/>
          <w:lang w:val="en-GB"/>
        </w:rPr>
      </w:pPr>
      <w:r>
        <w:rPr>
          <w:sz w:val="22"/>
          <w:szCs w:val="22"/>
          <w:lang w:val="en-GB"/>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39A6A5A2" w14:textId="77777777" w:rsidR="00E82820" w:rsidRDefault="00E82820" w:rsidP="00E82820">
      <w:pPr>
        <w:pStyle w:val="Blockquote"/>
        <w:jc w:val="both"/>
        <w:rPr>
          <w:sz w:val="22"/>
          <w:szCs w:val="22"/>
          <w:lang w:val="en-GB" w:eastAsia="pl-PL"/>
        </w:rPr>
      </w:pPr>
      <w:r w:rsidRPr="00D55AE8">
        <w:rPr>
          <w:sz w:val="22"/>
          <w:szCs w:val="22"/>
          <w:lang w:val="en-GB" w:eastAsia="pl-PL"/>
        </w:rPr>
        <w:t xml:space="preserve">Financing Agreement between </w:t>
      </w:r>
      <w:r w:rsidRPr="00D55AE8">
        <w:rPr>
          <w:bCs/>
          <w:sz w:val="22"/>
          <w:szCs w:val="22"/>
          <w:lang w:eastAsia="pl-PL"/>
        </w:rPr>
        <w:t>the Republic of Turkey</w:t>
      </w:r>
      <w:r w:rsidRPr="00D55AE8">
        <w:rPr>
          <w:sz w:val="22"/>
          <w:szCs w:val="22"/>
          <w:lang w:val="en-GB" w:eastAsia="pl-PL"/>
        </w:rPr>
        <w:t xml:space="preserve"> and European Commission for the Programme</w:t>
      </w:r>
      <w:proofErr w:type="gramStart"/>
      <w:r w:rsidRPr="00D55AE8">
        <w:rPr>
          <w:sz w:val="22"/>
          <w:szCs w:val="22"/>
          <w:lang w:val="en-GB" w:eastAsia="pl-PL"/>
        </w:rPr>
        <w:t>;</w:t>
      </w:r>
      <w:proofErr w:type="gramEnd"/>
    </w:p>
    <w:p w14:paraId="39124ACF" w14:textId="60548D3F" w:rsidR="00E82820" w:rsidRDefault="00E82820" w:rsidP="00E82820">
      <w:pPr>
        <w:pStyle w:val="Blockquote"/>
        <w:jc w:val="both"/>
        <w:rPr>
          <w:sz w:val="22"/>
          <w:szCs w:val="22"/>
          <w:lang w:val="en-GB"/>
        </w:rPr>
      </w:pPr>
      <w:r w:rsidRPr="00D55AE8">
        <w:rPr>
          <w:sz w:val="22"/>
          <w:szCs w:val="22"/>
        </w:rPr>
        <w:t xml:space="preserve">Memorandum on Implementation of </w:t>
      </w:r>
      <w:proofErr w:type="spellStart"/>
      <w:r w:rsidRPr="00D55AE8">
        <w:rPr>
          <w:sz w:val="22"/>
          <w:szCs w:val="22"/>
        </w:rPr>
        <w:t>Interreg</w:t>
      </w:r>
      <w:proofErr w:type="spellEnd"/>
      <w:r w:rsidRPr="00D55AE8">
        <w:rPr>
          <w:sz w:val="22"/>
          <w:szCs w:val="22"/>
        </w:rPr>
        <w:t xml:space="preserve"> – IPA Cross-Border Cooperation </w:t>
      </w:r>
      <w:proofErr w:type="spellStart"/>
      <w:r w:rsidRPr="00D55AE8">
        <w:rPr>
          <w:sz w:val="22"/>
          <w:szCs w:val="22"/>
        </w:rPr>
        <w:t>Programme</w:t>
      </w:r>
      <w:proofErr w:type="spellEnd"/>
      <w:r w:rsidRPr="00D55AE8">
        <w:rPr>
          <w:sz w:val="22"/>
          <w:szCs w:val="22"/>
        </w:rPr>
        <w:t xml:space="preserve"> </w:t>
      </w:r>
      <w:r w:rsidRPr="00D55AE8">
        <w:rPr>
          <w:bCs/>
          <w:sz w:val="22"/>
          <w:szCs w:val="22"/>
          <w:lang w:val="en-GB"/>
        </w:rPr>
        <w:t>Bulgaria-Turkey</w:t>
      </w:r>
      <w:r w:rsidRPr="00D55AE8">
        <w:rPr>
          <w:sz w:val="22"/>
          <w:szCs w:val="22"/>
          <w:lang w:val="en-GB"/>
        </w:rPr>
        <w:t xml:space="preserve"> </w:t>
      </w:r>
      <w:r w:rsidRPr="00D55AE8">
        <w:rPr>
          <w:sz w:val="22"/>
          <w:szCs w:val="22"/>
        </w:rPr>
        <w:t>CCI Number: 2014TC16I5CB005 between the Government of the Republic of Bulgaria and the Government of the Republic of Turkey;</w:t>
      </w:r>
    </w:p>
    <w:p w14:paraId="5C9F4F71" w14:textId="77777777" w:rsidR="00E9047D" w:rsidRPr="00F9055E" w:rsidRDefault="00C0772E" w:rsidP="00E9047D">
      <w:pPr>
        <w:pStyle w:val="Blockquote"/>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14:paraId="24051EC1" w14:textId="77777777" w:rsidR="00AF7EA7" w:rsidRDefault="00AF412E" w:rsidP="00AF7EA7">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w:t>
      </w:r>
      <w:proofErr w:type="gramStart"/>
      <w:r>
        <w:rPr>
          <w:lang w:val="en-GB"/>
        </w:rPr>
        <w:t>form  must</w:t>
      </w:r>
      <w:proofErr w:type="gramEnd"/>
      <w:r>
        <w:rPr>
          <w:lang w:val="en-GB"/>
        </w:rPr>
        <w:t xml:space="preserve"> be expressed in</w:t>
      </w:r>
      <w:r w:rsidR="00E82820">
        <w:rPr>
          <w:lang w:val="en-GB"/>
        </w:rPr>
        <w:t xml:space="preserve"> EUR</w:t>
      </w:r>
      <w:r w:rsidR="00AF7EA7">
        <w:rPr>
          <w:lang w:val="en-GB"/>
        </w:rPr>
        <w:t>.</w:t>
      </w:r>
    </w:p>
    <w:p w14:paraId="12999CC4" w14:textId="36989A0A" w:rsidR="00AF7EA7" w:rsidRDefault="00AF7EA7" w:rsidP="00AF7EA7">
      <w:pPr>
        <w:widowControl/>
        <w:snapToGrid w:val="0"/>
        <w:spacing w:after="0"/>
        <w:ind w:left="360" w:right="360"/>
        <w:jc w:val="both"/>
        <w:rPr>
          <w:lang w:val="en-GB"/>
        </w:rPr>
      </w:pPr>
      <w:r>
        <w:rPr>
          <w:lang w:val="en-GB"/>
        </w:rPr>
        <w:t>If applicable, where a candidate refers to amounts originally expressed in a different currency, the conversion to EUR shall be m</w:t>
      </w:r>
      <w:r w:rsidR="004176E5">
        <w:rPr>
          <w:lang w:val="en-GB"/>
        </w:rPr>
        <w:t xml:space="preserve">ade in accordance with the Info </w:t>
      </w:r>
      <w:r>
        <w:rPr>
          <w:lang w:val="en-GB"/>
        </w:rPr>
        <w:t xml:space="preserve">Euro exchange rate of February 2020, which can be found at the following address: </w:t>
      </w:r>
      <w:hyperlink r:id="rId11" w:history="1">
        <w:r>
          <w:rPr>
            <w:rStyle w:val="Hyperlink"/>
            <w:lang w:val="en-GB"/>
          </w:rPr>
          <w:t>http://ec.europa.eu/budget/graphs/inforeuro.html</w:t>
        </w:r>
      </w:hyperlink>
      <w:r>
        <w:rPr>
          <w:lang w:val="en-GB"/>
        </w:rPr>
        <w:t>.</w:t>
      </w:r>
    </w:p>
    <w:p w14:paraId="2A1FB6F7" w14:textId="0123F4D3" w:rsidR="00AF7EA7" w:rsidRPr="00487A4D" w:rsidRDefault="00AF7EA7" w:rsidP="00AF7EA7">
      <w:pPr>
        <w:rPr>
          <w:b/>
        </w:rPr>
      </w:pPr>
      <w:r>
        <w:rPr>
          <w:lang w:val="en-GB"/>
        </w:rPr>
        <w:t xml:space="preserve">     Opening hours of the institutions: 8:30 – 17:30 from Monday to Friday</w:t>
      </w:r>
      <w:r w:rsidR="0060194E">
        <w:rPr>
          <w:lang w:val="en-GB"/>
        </w:rPr>
        <w:t>.</w:t>
      </w:r>
    </w:p>
    <w:p w14:paraId="6A10824F" w14:textId="77777777" w:rsidR="00AF7EA7" w:rsidRPr="00F9055E" w:rsidRDefault="00AF7EA7" w:rsidP="00AF7EA7">
      <w:pPr>
        <w:widowControl/>
        <w:snapToGrid w:val="0"/>
        <w:spacing w:after="0"/>
        <w:ind w:left="360" w:right="360"/>
        <w:jc w:val="both"/>
        <w:rPr>
          <w:sz w:val="22"/>
          <w:szCs w:val="22"/>
          <w:lang w:val="en-GB"/>
        </w:rPr>
      </w:pPr>
    </w:p>
    <w:p w14:paraId="13C387E8" w14:textId="77777777" w:rsidR="007F6AA9" w:rsidRPr="00F9055E" w:rsidRDefault="007F6AA9" w:rsidP="00235A71">
      <w:pPr>
        <w:pStyle w:val="Blockquote"/>
        <w:jc w:val="both"/>
        <w:rPr>
          <w:sz w:val="22"/>
          <w:szCs w:val="22"/>
          <w:lang w:val="en-GB"/>
        </w:rPr>
      </w:pPr>
    </w:p>
    <w:sectPr w:rsidR="007F6AA9" w:rsidRPr="00F9055E" w:rsidSect="00E147D3">
      <w:headerReference w:type="default" r:id="rId12"/>
      <w:footerReference w:type="default" r:id="rId13"/>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01B6C4D" w14:textId="77777777" w:rsidR="0052289E" w:rsidRDefault="0052289E">
      <w:r>
        <w:separator/>
      </w:r>
    </w:p>
  </w:endnote>
  <w:endnote w:type="continuationSeparator" w:id="0">
    <w:p w14:paraId="72D9927C" w14:textId="77777777" w:rsidR="0052289E" w:rsidRDefault="0052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MS Mincho">
    <w:altName w:val="MS Gothic"/>
    <w:panose1 w:val="00000000000000000000"/>
    <w:charset w:val="80"/>
    <w:family w:val="roman"/>
    <w:notTrueType/>
    <w:pitch w:val="fixed"/>
    <w:sig w:usb0="00000000" w:usb1="08070000" w:usb2="00000010" w:usb3="00000000" w:csb0="00020000"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1240D" w14:textId="77777777" w:rsidR="0052289E" w:rsidRPr="00B33EE6" w:rsidRDefault="0052289E" w:rsidP="00F9055E">
    <w:pPr>
      <w:pStyle w:val="Footer"/>
      <w:tabs>
        <w:tab w:val="clear" w:pos="4320"/>
        <w:tab w:val="clear" w:pos="8640"/>
        <w:tab w:val="right" w:pos="9214"/>
      </w:tabs>
      <w:spacing w:before="120" w:after="0"/>
      <w:rPr>
        <w:b/>
        <w:sz w:val="20"/>
        <w:lang w:val="en-GB"/>
      </w:rPr>
    </w:pPr>
    <w:r>
      <w:rPr>
        <w:b/>
        <w:sz w:val="20"/>
      </w:rPr>
      <w:t>July</w:t>
    </w:r>
    <w:r w:rsidRPr="002A00A4">
      <w:rPr>
        <w:b/>
        <w:sz w:val="20"/>
      </w:rPr>
      <w:t xml:space="preserve"> 201</w:t>
    </w:r>
    <w:r>
      <w:rPr>
        <w:sz w:val="20"/>
      </w:rPr>
      <w:t>9</w:t>
    </w:r>
    <w:r w:rsidRPr="00B33EE6">
      <w:rPr>
        <w:sz w:val="18"/>
        <w:szCs w:val="18"/>
        <w:lang w:val="en-GB"/>
      </w:rPr>
      <w:tab/>
      <w:t xml:space="preserve">Page </w:t>
    </w:r>
    <w:r w:rsidRPr="00B33EE6">
      <w:rPr>
        <w:rStyle w:val="PageNumber"/>
        <w:sz w:val="18"/>
        <w:szCs w:val="18"/>
        <w:lang w:val="en-GB"/>
      </w:rPr>
      <w:fldChar w:fldCharType="begin"/>
    </w:r>
    <w:r w:rsidRPr="00B33EE6">
      <w:rPr>
        <w:rStyle w:val="PageNumber"/>
        <w:sz w:val="18"/>
        <w:szCs w:val="18"/>
        <w:lang w:val="en-GB"/>
      </w:rPr>
      <w:instrText xml:space="preserve"> PAGE </w:instrText>
    </w:r>
    <w:r w:rsidRPr="00B33EE6">
      <w:rPr>
        <w:rStyle w:val="PageNumber"/>
        <w:sz w:val="18"/>
        <w:szCs w:val="18"/>
        <w:lang w:val="en-GB"/>
      </w:rPr>
      <w:fldChar w:fldCharType="separate"/>
    </w:r>
    <w:r w:rsidR="00685697">
      <w:rPr>
        <w:rStyle w:val="PageNumber"/>
        <w:noProof/>
        <w:sz w:val="18"/>
        <w:szCs w:val="18"/>
        <w:lang w:val="en-GB"/>
      </w:rPr>
      <w:t>4</w:t>
    </w:r>
    <w:r w:rsidRPr="00B33EE6">
      <w:rPr>
        <w:rStyle w:val="PageNumber"/>
        <w:sz w:val="18"/>
        <w:szCs w:val="18"/>
        <w:lang w:val="en-GB"/>
      </w:rPr>
      <w:fldChar w:fldCharType="end"/>
    </w:r>
    <w:r w:rsidRPr="00B33EE6">
      <w:rPr>
        <w:rStyle w:val="PageNumber"/>
        <w:sz w:val="18"/>
        <w:szCs w:val="18"/>
        <w:lang w:val="en-GB"/>
      </w:rPr>
      <w:t xml:space="preserve"> of </w:t>
    </w:r>
    <w:r w:rsidRPr="00B33EE6">
      <w:rPr>
        <w:rStyle w:val="PageNumber"/>
        <w:sz w:val="18"/>
        <w:szCs w:val="18"/>
        <w:lang w:val="en-GB"/>
      </w:rPr>
      <w:fldChar w:fldCharType="begin"/>
    </w:r>
    <w:r w:rsidRPr="00B33EE6">
      <w:rPr>
        <w:rStyle w:val="PageNumber"/>
        <w:sz w:val="18"/>
        <w:szCs w:val="18"/>
        <w:lang w:val="en-GB"/>
      </w:rPr>
      <w:instrText xml:space="preserve"> NUMPAGES   \* MERGEFORMAT </w:instrText>
    </w:r>
    <w:r w:rsidRPr="00B33EE6">
      <w:rPr>
        <w:rStyle w:val="PageNumber"/>
        <w:sz w:val="18"/>
        <w:szCs w:val="18"/>
        <w:lang w:val="en-GB"/>
      </w:rPr>
      <w:fldChar w:fldCharType="separate"/>
    </w:r>
    <w:r w:rsidR="00685697">
      <w:rPr>
        <w:rStyle w:val="PageNumber"/>
        <w:noProof/>
        <w:sz w:val="18"/>
        <w:szCs w:val="18"/>
        <w:lang w:val="en-GB"/>
      </w:rPr>
      <w:t>8</w:t>
    </w:r>
    <w:r w:rsidRPr="00B33EE6">
      <w:rPr>
        <w:rStyle w:val="PageNumber"/>
        <w:sz w:val="18"/>
        <w:szCs w:val="18"/>
        <w:lang w:val="en-GB"/>
      </w:rPr>
      <w:fldChar w:fldCharType="end"/>
    </w:r>
  </w:p>
  <w:p w14:paraId="35E0CDD5" w14:textId="77777777" w:rsidR="0052289E" w:rsidRPr="00B33EE6" w:rsidRDefault="0052289E"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A289804" w14:textId="77777777" w:rsidR="0052289E" w:rsidRDefault="0052289E">
      <w:r>
        <w:separator/>
      </w:r>
    </w:p>
  </w:footnote>
  <w:footnote w:type="continuationSeparator" w:id="0">
    <w:p w14:paraId="3F315CC7" w14:textId="77777777" w:rsidR="0052289E" w:rsidRDefault="0052289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21" w:type="dxa"/>
      <w:jc w:val="center"/>
      <w:tblLook w:val="04A0" w:firstRow="1" w:lastRow="0" w:firstColumn="1" w:lastColumn="0" w:noHBand="0" w:noVBand="1"/>
    </w:tblPr>
    <w:tblGrid>
      <w:gridCol w:w="3638"/>
      <w:gridCol w:w="3632"/>
      <w:gridCol w:w="2551"/>
    </w:tblGrid>
    <w:tr w:rsidR="0052289E" w:rsidRPr="008B1ADB" w14:paraId="6A52185F" w14:textId="77777777" w:rsidTr="008F3009">
      <w:trPr>
        <w:jc w:val="center"/>
      </w:trPr>
      <w:tc>
        <w:tcPr>
          <w:tcW w:w="3638" w:type="dxa"/>
          <w:shd w:val="clear" w:color="auto" w:fill="auto"/>
        </w:tcPr>
        <w:p w14:paraId="5F7980F2" w14:textId="77777777" w:rsidR="0052289E" w:rsidRPr="008B1ADB" w:rsidRDefault="00685697" w:rsidP="008F3009">
          <w:pPr>
            <w:rPr>
              <w:rFonts w:ascii="Calibri" w:hAnsi="Calibri"/>
            </w:rPr>
          </w:pPr>
          <w:r>
            <w:rPr>
              <w:rFonts w:ascii="Calibri" w:hAnsi="Calibri"/>
              <w:noProof/>
            </w:rPr>
            <w:pict w14:anchorId="312BCB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C:\Users\UTS\Desktop\Interreg BG TR Logo 3 lines.jpg" style="width:139pt;height:43pt;visibility:visible;mso-wrap-style:square">
                <v:imagedata r:id="rId1" o:title="Interreg BG TR Logo 3 lines"/>
              </v:shape>
            </w:pict>
          </w:r>
        </w:p>
      </w:tc>
      <w:tc>
        <w:tcPr>
          <w:tcW w:w="3632" w:type="dxa"/>
          <w:vAlign w:val="center"/>
        </w:tcPr>
        <w:p w14:paraId="5354B3B5" w14:textId="77777777" w:rsidR="0052289E" w:rsidRPr="00272BD0" w:rsidRDefault="0052289E" w:rsidP="008F3009">
          <w:pPr>
            <w:spacing w:after="120"/>
            <w:jc w:val="center"/>
            <w:rPr>
              <w:i/>
              <w:noProof/>
              <w:sz w:val="20"/>
            </w:rPr>
          </w:pPr>
        </w:p>
      </w:tc>
      <w:tc>
        <w:tcPr>
          <w:tcW w:w="2551" w:type="dxa"/>
          <w:vAlign w:val="bottom"/>
        </w:tcPr>
        <w:p w14:paraId="737F00E4" w14:textId="77777777" w:rsidR="0052289E" w:rsidRPr="008B1ADB" w:rsidRDefault="0052289E" w:rsidP="008F3009">
          <w:pPr>
            <w:spacing w:after="120"/>
            <w:jc w:val="right"/>
            <w:rPr>
              <w:rFonts w:ascii="Calibri" w:hAnsi="Calibri" w:cs="Arial"/>
              <w:color w:val="7030A0"/>
            </w:rPr>
          </w:pPr>
          <w:r>
            <w:rPr>
              <w:rFonts w:ascii="Calibri" w:hAnsi="Calibri"/>
              <w:noProof/>
            </w:rPr>
            <w:t xml:space="preserve">   </w:t>
          </w:r>
          <w:r w:rsidR="00685697">
            <w:rPr>
              <w:rFonts w:ascii="Calibri" w:hAnsi="Calibri"/>
              <w:noProof/>
            </w:rPr>
            <w:pict w14:anchorId="78334202">
              <v:shape id="_x0000_i1026" type="#_x0000_t75" style="width:54pt;height:46pt;visibility:visible;mso-wrap-style:square">
                <v:imagedata r:id="rId2" o:title=""/>
              </v:shape>
            </w:pict>
          </w:r>
        </w:p>
      </w:tc>
    </w:tr>
  </w:tbl>
  <w:p w14:paraId="6A7DE3EE" w14:textId="77777777" w:rsidR="0052289E" w:rsidRPr="004F480E" w:rsidRDefault="0052289E" w:rsidP="004F480E">
    <w:pPr>
      <w:tabs>
        <w:tab w:val="center" w:pos="4536"/>
        <w:tab w:val="right" w:pos="9072"/>
      </w:tabs>
      <w:jc w:val="center"/>
      <w:rPr>
        <w:b/>
        <w:i/>
        <w:iCs/>
      </w:rPr>
    </w:pPr>
    <w:r w:rsidRPr="00B94C9A">
      <w:rPr>
        <w:b/>
        <w:i/>
        <w:iCs/>
      </w:rPr>
      <w:t>CB005.2.12.88 “</w:t>
    </w:r>
    <w:r w:rsidRPr="00B94C9A">
      <w:rPr>
        <w:b/>
        <w:i/>
        <w:color w:val="000000"/>
      </w:rPr>
      <w:t>Joint cross-border initiatives for reduction of marine litter in Aegean and Black Sea (Seas without waste)</w:t>
    </w:r>
    <w:r w:rsidRPr="00B94C9A">
      <w:rPr>
        <w:color w:val="00000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257E02A1"/>
    <w:multiLevelType w:val="hybridMultilevel"/>
    <w:tmpl w:val="4E907C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A9B7D8D"/>
    <w:multiLevelType w:val="hybridMultilevel"/>
    <w:tmpl w:val="D15EBB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5">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3"/>
  </w:num>
  <w:num w:numId="40">
    <w:abstractNumId w:val="45"/>
  </w:num>
  <w:num w:numId="41">
    <w:abstractNumId w:val="40"/>
  </w:num>
  <w:num w:numId="42">
    <w:abstractNumId w:val="42"/>
  </w:num>
  <w:num w:numId="43">
    <w:abstractNumId w:val="37"/>
  </w:num>
  <w:num w:numId="44">
    <w:abstractNumId w:val="38"/>
  </w:num>
  <w:num w:numId="4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434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77254"/>
    <w:rsid w:val="00087A72"/>
    <w:rsid w:val="00095030"/>
    <w:rsid w:val="000A0D57"/>
    <w:rsid w:val="000A3758"/>
    <w:rsid w:val="000B693E"/>
    <w:rsid w:val="000B7C91"/>
    <w:rsid w:val="000C1101"/>
    <w:rsid w:val="000C1522"/>
    <w:rsid w:val="000D1732"/>
    <w:rsid w:val="000D3EBF"/>
    <w:rsid w:val="000E4709"/>
    <w:rsid w:val="000F0F6C"/>
    <w:rsid w:val="000F1340"/>
    <w:rsid w:val="000F5DEF"/>
    <w:rsid w:val="0010162C"/>
    <w:rsid w:val="00105302"/>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A4444"/>
    <w:rsid w:val="002B2145"/>
    <w:rsid w:val="002D266E"/>
    <w:rsid w:val="002D4121"/>
    <w:rsid w:val="002E1B83"/>
    <w:rsid w:val="002E2635"/>
    <w:rsid w:val="002E7D33"/>
    <w:rsid w:val="002F4E69"/>
    <w:rsid w:val="003045C3"/>
    <w:rsid w:val="00313F6B"/>
    <w:rsid w:val="00322D52"/>
    <w:rsid w:val="003232ED"/>
    <w:rsid w:val="00323BDD"/>
    <w:rsid w:val="003262FC"/>
    <w:rsid w:val="00330261"/>
    <w:rsid w:val="003378F6"/>
    <w:rsid w:val="00342E7F"/>
    <w:rsid w:val="00347673"/>
    <w:rsid w:val="0035103C"/>
    <w:rsid w:val="003574F5"/>
    <w:rsid w:val="00357E25"/>
    <w:rsid w:val="00362824"/>
    <w:rsid w:val="00364564"/>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243C"/>
    <w:rsid w:val="003E782D"/>
    <w:rsid w:val="0040360C"/>
    <w:rsid w:val="004108A4"/>
    <w:rsid w:val="004176E5"/>
    <w:rsid w:val="00424124"/>
    <w:rsid w:val="0043533D"/>
    <w:rsid w:val="00452ED8"/>
    <w:rsid w:val="0045494F"/>
    <w:rsid w:val="004567DF"/>
    <w:rsid w:val="00472630"/>
    <w:rsid w:val="00473883"/>
    <w:rsid w:val="00476D80"/>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80E"/>
    <w:rsid w:val="004F4A09"/>
    <w:rsid w:val="004F7E9D"/>
    <w:rsid w:val="00500794"/>
    <w:rsid w:val="00502217"/>
    <w:rsid w:val="00502BBF"/>
    <w:rsid w:val="00503CD9"/>
    <w:rsid w:val="005046CD"/>
    <w:rsid w:val="00505437"/>
    <w:rsid w:val="005070DB"/>
    <w:rsid w:val="00513F0F"/>
    <w:rsid w:val="00517ADA"/>
    <w:rsid w:val="0052289E"/>
    <w:rsid w:val="0054183B"/>
    <w:rsid w:val="005462B4"/>
    <w:rsid w:val="00551429"/>
    <w:rsid w:val="00553C32"/>
    <w:rsid w:val="0056183E"/>
    <w:rsid w:val="005639EC"/>
    <w:rsid w:val="00565A69"/>
    <w:rsid w:val="00571687"/>
    <w:rsid w:val="00572F15"/>
    <w:rsid w:val="00573F7A"/>
    <w:rsid w:val="00584BF4"/>
    <w:rsid w:val="00584D96"/>
    <w:rsid w:val="00590ADB"/>
    <w:rsid w:val="005A21DC"/>
    <w:rsid w:val="005B35A2"/>
    <w:rsid w:val="005B4F80"/>
    <w:rsid w:val="005B5E3C"/>
    <w:rsid w:val="005D41DD"/>
    <w:rsid w:val="005F776D"/>
    <w:rsid w:val="0060194E"/>
    <w:rsid w:val="0060359F"/>
    <w:rsid w:val="0061336A"/>
    <w:rsid w:val="006309DE"/>
    <w:rsid w:val="00632BDC"/>
    <w:rsid w:val="0064390B"/>
    <w:rsid w:val="00663C6D"/>
    <w:rsid w:val="006714ED"/>
    <w:rsid w:val="006738B9"/>
    <w:rsid w:val="00674F9C"/>
    <w:rsid w:val="006751D2"/>
    <w:rsid w:val="006770CA"/>
    <w:rsid w:val="00685697"/>
    <w:rsid w:val="00686C3A"/>
    <w:rsid w:val="00697F82"/>
    <w:rsid w:val="006A0598"/>
    <w:rsid w:val="006A66DA"/>
    <w:rsid w:val="006A7394"/>
    <w:rsid w:val="006B2EDA"/>
    <w:rsid w:val="006B59B9"/>
    <w:rsid w:val="006C0EB6"/>
    <w:rsid w:val="006C0F37"/>
    <w:rsid w:val="006D330F"/>
    <w:rsid w:val="006D6080"/>
    <w:rsid w:val="006E3377"/>
    <w:rsid w:val="006E625F"/>
    <w:rsid w:val="006F5FD0"/>
    <w:rsid w:val="006F7885"/>
    <w:rsid w:val="007046C8"/>
    <w:rsid w:val="00706E7C"/>
    <w:rsid w:val="00710A38"/>
    <w:rsid w:val="007121FB"/>
    <w:rsid w:val="007129D6"/>
    <w:rsid w:val="00712CB3"/>
    <w:rsid w:val="00715755"/>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A732B"/>
    <w:rsid w:val="007C2B54"/>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62885"/>
    <w:rsid w:val="0087086B"/>
    <w:rsid w:val="00881C2D"/>
    <w:rsid w:val="00894E29"/>
    <w:rsid w:val="0089693D"/>
    <w:rsid w:val="008A1514"/>
    <w:rsid w:val="008B0830"/>
    <w:rsid w:val="008B77CD"/>
    <w:rsid w:val="008C3178"/>
    <w:rsid w:val="008C68A0"/>
    <w:rsid w:val="008D1243"/>
    <w:rsid w:val="008D3E45"/>
    <w:rsid w:val="008E2D12"/>
    <w:rsid w:val="008F294D"/>
    <w:rsid w:val="008F3009"/>
    <w:rsid w:val="009055F3"/>
    <w:rsid w:val="009066B6"/>
    <w:rsid w:val="00907556"/>
    <w:rsid w:val="00913817"/>
    <w:rsid w:val="00925F7F"/>
    <w:rsid w:val="009260B8"/>
    <w:rsid w:val="0092731B"/>
    <w:rsid w:val="009317C0"/>
    <w:rsid w:val="00932C01"/>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128B"/>
    <w:rsid w:val="009F5FB4"/>
    <w:rsid w:val="00A00BD5"/>
    <w:rsid w:val="00A021B5"/>
    <w:rsid w:val="00A02E6B"/>
    <w:rsid w:val="00A03055"/>
    <w:rsid w:val="00A046E7"/>
    <w:rsid w:val="00A04B00"/>
    <w:rsid w:val="00A11931"/>
    <w:rsid w:val="00A171EA"/>
    <w:rsid w:val="00A22177"/>
    <w:rsid w:val="00A236A4"/>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66C4"/>
    <w:rsid w:val="00AB7F58"/>
    <w:rsid w:val="00AC0D0C"/>
    <w:rsid w:val="00AC4530"/>
    <w:rsid w:val="00AC7E0D"/>
    <w:rsid w:val="00AD1660"/>
    <w:rsid w:val="00AD1E4D"/>
    <w:rsid w:val="00AE1D8D"/>
    <w:rsid w:val="00AE4633"/>
    <w:rsid w:val="00AE6A5B"/>
    <w:rsid w:val="00AF0B6B"/>
    <w:rsid w:val="00AF412E"/>
    <w:rsid w:val="00AF7BB3"/>
    <w:rsid w:val="00AF7EA7"/>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A0765"/>
    <w:rsid w:val="00BA44A3"/>
    <w:rsid w:val="00BA7C3E"/>
    <w:rsid w:val="00BB2689"/>
    <w:rsid w:val="00BC353E"/>
    <w:rsid w:val="00BD65BA"/>
    <w:rsid w:val="00BE08EC"/>
    <w:rsid w:val="00BE3544"/>
    <w:rsid w:val="00BE595A"/>
    <w:rsid w:val="00BE5F29"/>
    <w:rsid w:val="00BE783C"/>
    <w:rsid w:val="00C00D44"/>
    <w:rsid w:val="00C03AF5"/>
    <w:rsid w:val="00C04FCE"/>
    <w:rsid w:val="00C0772E"/>
    <w:rsid w:val="00C147B2"/>
    <w:rsid w:val="00C171B6"/>
    <w:rsid w:val="00C2011B"/>
    <w:rsid w:val="00C2062A"/>
    <w:rsid w:val="00C30183"/>
    <w:rsid w:val="00C316FC"/>
    <w:rsid w:val="00C3644F"/>
    <w:rsid w:val="00C36666"/>
    <w:rsid w:val="00C43AAC"/>
    <w:rsid w:val="00C460D8"/>
    <w:rsid w:val="00C61B8C"/>
    <w:rsid w:val="00C712DE"/>
    <w:rsid w:val="00C80191"/>
    <w:rsid w:val="00C836E5"/>
    <w:rsid w:val="00C83C65"/>
    <w:rsid w:val="00C840D0"/>
    <w:rsid w:val="00C867B9"/>
    <w:rsid w:val="00CA3B1B"/>
    <w:rsid w:val="00CB23E3"/>
    <w:rsid w:val="00CB6862"/>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A0ABA"/>
    <w:rsid w:val="00DC0253"/>
    <w:rsid w:val="00DC1BCF"/>
    <w:rsid w:val="00DC4F70"/>
    <w:rsid w:val="00DC753D"/>
    <w:rsid w:val="00DD0CD4"/>
    <w:rsid w:val="00DF04F0"/>
    <w:rsid w:val="00E147D3"/>
    <w:rsid w:val="00E1782A"/>
    <w:rsid w:val="00E21BC3"/>
    <w:rsid w:val="00E23A94"/>
    <w:rsid w:val="00E30BB5"/>
    <w:rsid w:val="00E31447"/>
    <w:rsid w:val="00E422A2"/>
    <w:rsid w:val="00E5220B"/>
    <w:rsid w:val="00E6172B"/>
    <w:rsid w:val="00E66A55"/>
    <w:rsid w:val="00E713DA"/>
    <w:rsid w:val="00E813B7"/>
    <w:rsid w:val="00E82820"/>
    <w:rsid w:val="00E82874"/>
    <w:rsid w:val="00E845AC"/>
    <w:rsid w:val="00E867FC"/>
    <w:rsid w:val="00E9047D"/>
    <w:rsid w:val="00EA399C"/>
    <w:rsid w:val="00EB4C19"/>
    <w:rsid w:val="00EC7EB7"/>
    <w:rsid w:val="00ED44E3"/>
    <w:rsid w:val="00ED5FA0"/>
    <w:rsid w:val="00EE0A07"/>
    <w:rsid w:val="00EE13F9"/>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7C8A"/>
    <w:rsid w:val="00F9055E"/>
    <w:rsid w:val="00F91683"/>
    <w:rsid w:val="00FA17FC"/>
    <w:rsid w:val="00FB17AC"/>
    <w:rsid w:val="00FC622D"/>
    <w:rsid w:val="00FC67E7"/>
    <w:rsid w:val="00FD7C42"/>
    <w:rsid w:val="00FE4D9A"/>
    <w:rsid w:val="00FE4E4B"/>
    <w:rsid w:val="00FE62A5"/>
    <w:rsid w:val="00FE6A9C"/>
    <w:rsid w:val="00FE6CB8"/>
    <w:rsid w:val="00FF1872"/>
    <w:rsid w:val="00FF3F2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40"/>
    <o:shapelayout v:ext="edit">
      <o:idmap v:ext="edit" data="1"/>
    </o:shapelayout>
  </w:shapeDefaults>
  <w:decimalSymbol w:val=","/>
  <w:listSeparator w:val=";"/>
  <w14:docId w14:val="5DCA4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c.europa.eu/budget/graphs/inforeuro.html"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ec.europa.eu/europeaid/prag/annexes.do?group=B" TargetMode="External"/><Relationship Id="rId10" Type="http://schemas.openxmlformats.org/officeDocument/2006/relationships/hyperlink" Target="http://ec.europa.eu/europeaid/prag/annexes.do?chapterTitleCode=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1E640-67D7-D249-B23E-A61B1E3CF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8</Pages>
  <Words>2671</Words>
  <Characters>15230</Characters>
  <Application>Microsoft Macintosh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17866</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Nazife Ahmedova</cp:lastModifiedBy>
  <cp:revision>57</cp:revision>
  <cp:lastPrinted>2016-05-31T08:36:00Z</cp:lastPrinted>
  <dcterms:created xsi:type="dcterms:W3CDTF">2018-12-18T11:34:00Z</dcterms:created>
  <dcterms:modified xsi:type="dcterms:W3CDTF">2020-01-23T10:01:00Z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